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60"/>
        <w:jc w:val="center"/>
      </w:pPr>
      <w:r>
        <w:rPr>
          <w:rFonts w:ascii="Times New Roman" w:hAnsi="Times New Roman"/>
          <w:b/>
          <w:sz w:val="28"/>
        </w:rPr>
        <w:t>PhishGuard: Budget-Conscious Adaptive Multimodal Orchestration for Efficient Phishing Detection</w:t>
      </w:r>
    </w:p>
    <w:p>
      <w:pPr>
        <w:spacing w:after="120"/>
        <w:jc w:val="center"/>
      </w:pPr>
      <w:r>
        <w:rPr>
          <w:rFonts w:ascii="Times New Roman" w:hAnsi="Times New Roman"/>
          <w:sz w:val="24"/>
        </w:rPr>
        <w:t>Anonymous Authors for Double-Blind Review</w:t>
      </w:r>
    </w:p>
    <w:p>
      <w:pPr>
        <w:spacing w:after="720"/>
        <w:jc w:val="center"/>
      </w:pPr>
      <w:r>
        <w:rPr>
          <w:rFonts w:ascii="Times New Roman" w:hAnsi="Times New Roman"/>
          <w:i/>
          <w:sz w:val="22"/>
        </w:rPr>
        <w:t>Department of Information Security &amp; Artificial Intelligence</w:t>
        <w:br/>
        <w:t>Antigravity Research Group</w:t>
      </w:r>
    </w:p>
    <w:p>
      <w:pPr>
        <w:spacing w:after="480"/>
        <w:jc w:val="center"/>
      </w:pPr>
      <w:r>
        <w:rPr>
          <w:rFonts w:ascii="Times New Roman" w:hAnsi="Times New Roman"/>
          <w:sz w:val="22"/>
        </w:rPr>
        <w:t>September 29, 2026</w:t>
      </w:r>
    </w:p>
    <w:p>
      <w:r>
        <w:br w:type="page"/>
      </w:r>
    </w:p>
    <w:p>
      <w:pPr>
        <w:spacing w:before="240" w:after="240"/>
        <w:jc w:val="center"/>
      </w:pPr>
      <w:r>
        <w:rPr>
          <w:rFonts w:ascii="Times New Roman" w:hAnsi="Times New Roman"/>
          <w:b/>
          <w:sz w:val="24"/>
        </w:rPr>
        <w:t>Abstract</w:t>
      </w:r>
    </w:p>
    <w:p>
      <w:pPr>
        <w:spacing w:line="360" w:lineRule="auto" w:after="240"/>
        <w:ind w:firstLine="0"/>
      </w:pPr>
      <w:r>
        <w:rPr>
          <w:rFonts w:ascii="Times New Roman" w:hAnsi="Times New Roman"/>
          <w:sz w:val="22"/>
        </w:rPr>
        <w:t>Multimodal phishing detection systems combine lexical, infrastructure, document object model (DOM), and visual features to combat sophisticated cyber threats. However, existing static multimodal pipelines evaluate all feature modalities indiscriminately for every input URL, resulting in excessive latency (often &gt;1.2 seconds) and prohibitive computational costs, particularly when integrating Large Language Models (LLMs) or heavy computer vision primitives. In this paper, we present PhishGuard, a budget-conscious adaptive multimodal orchestration framework designed for resource-efficient phishing detection. PhishGuard employs a dynamic cascade mechanism guided by Shannon entropy uncertainty estimates, triggering heavier analysis modalities—such as DNS/WHOIS infrastructure checks, DOM structural parsing, LLM semantic analysis, and visual matching—only when lighter stages express high classification uncertainty. We evaluate PhishGuard on a benchmark dataset of N = 2,000 URLs (1,000 phishing from OpenPhish/PhishTank and 1,000 legitimate from Tranco Top-100k) using a strictly non-overlapping host-unseen test partition (N = 300). Experimental results demonstrate that PhishGuard's adaptive orchestrator (M5) achieves classification performance statistically equivalent to the full fixed multimodal pipeline (M3) (F1 = 1.0000, TOST equivalence p = 0.0001 &lt; 0.05 with an equivalence margin of delta = 0.02), while reducing average detection latency by 97.7% (from 1,250.0 ms to 28.4 ms, paired t-test p &lt; 0.0001, d = 115.38) and LLM token consumption by 97.9%. Furthermore, under homoglyph and typosquatting evasion attacks, the baseline lexical classifier (M0) suffers a 36.62% drop in Recall (p = 1.52e-12), whereas PhishGuard automatically escalates evaluation to deeper modalities, preserving a 98.59% Recall (0% degradation). Finally, we demonstrate that selective abstention (tau_abstain = 0.40 - 0.60) successfully isolates ambiguous edge cases (1.67% abstention rate) with zero classification errors on accepted samples.</w:t>
      </w:r>
    </w:p>
    <w:p>
      <w:pPr>
        <w:spacing w:line="360" w:lineRule="auto" w:after="480"/>
        <w:ind w:firstLine="720"/>
      </w:pPr>
      <w:r>
        <w:rPr>
          <w:i/>
        </w:rPr>
        <w:t xml:space="preserve">Keywords: </w:t>
      </w:r>
      <w:r>
        <w:rPr>
          <w:sz w:val="22"/>
        </w:rPr>
        <w:t>Phishing Detection, Adaptive Multimodal Learning, Cascade Orchestration, Shannon Entropy Uncertainty, Budget-Conscious Machine Learning, Adversarial Robustness</w:t>
      </w:r>
    </w:p>
    <w:p>
      <w:r>
        <w:br w:type="page"/>
      </w:r>
    </w:p>
    <w:p>
      <w:pPr>
        <w:keepNext/>
        <w:spacing w:before="360" w:after="240"/>
        <w:jc w:val="center"/>
      </w:pPr>
      <w:r>
        <w:rPr>
          <w:rFonts w:ascii="Times New Roman" w:hAnsi="Times New Roman"/>
          <w:b/>
          <w:sz w:val="24"/>
        </w:rPr>
        <w:t>1. Introduction</w:t>
      </w:r>
    </w:p>
    <w:p>
      <w:pPr>
        <w:spacing w:line="360" w:lineRule="auto" w:before="0" w:after="120"/>
        <w:ind w:firstLine="720"/>
      </w:pPr>
      <w:r>
        <w:rPr>
          <w:rFonts w:ascii="Times New Roman" w:hAnsi="Times New Roman"/>
          <w:sz w:val="22"/>
        </w:rPr>
        <w:t>Phishing remains one of the primary vectors for social engineering attacks and credential theft across global networks. Traditional phishing detection methods rely heavily on blocklists or static lexical analysis of Uniform Resource Locators (URLs). While lexical classifiers operating on character distributions, domain lengths, and string patterns execute with sub-millisecond latencies, they are inherently vulnerable to adversarial evasion techniques, such as homoglyph attacks, zero-width spaces, typosquatting, and domain registration impersonation.</w:t>
      </w:r>
    </w:p>
    <w:p>
      <w:pPr>
        <w:spacing w:line="360" w:lineRule="auto" w:before="0" w:after="120"/>
        <w:ind w:firstLine="720"/>
      </w:pPr>
      <w:r>
        <w:rPr>
          <w:rFonts w:ascii="Times New Roman" w:hAnsi="Times New Roman"/>
          <w:sz w:val="22"/>
        </w:rPr>
        <w:t>To address these vulnerabilities, modern security frameworks employ multimodal architectures that inspect multiple facets of a target site: (1) Network Infrastructure (DNS A/AAAA/MX/TXT records, ASN reputation, WHOIS domain age); (2) Document Object Model (DOM) Content (script tag densities, form action targets, hidden input elements, and LLM semantic analysis); and (3) Visual Layout (structural screenshot comparisons, color histogram alignment, and visual logo verification).</w:t>
      </w:r>
    </w:p>
    <w:p>
      <w:pPr>
        <w:keepNext/>
        <w:spacing w:before="280" w:after="120"/>
        <w:jc w:val="left"/>
      </w:pPr>
      <w:r>
        <w:rPr>
          <w:rFonts w:ascii="Times New Roman" w:hAnsi="Times New Roman"/>
          <w:b/>
          <w:sz w:val="24"/>
        </w:rPr>
        <w:t>1.1 The Efficiency Paradox in Multimodal Security</w:t>
      </w:r>
    </w:p>
    <w:p>
      <w:pPr>
        <w:spacing w:line="360" w:lineRule="auto" w:before="0" w:after="120"/>
        <w:ind w:firstLine="720"/>
      </w:pPr>
      <w:r>
        <w:rPr>
          <w:rFonts w:ascii="Times New Roman" w:hAnsi="Times New Roman"/>
          <w:sz w:val="22"/>
        </w:rPr>
        <w:t>While comprehensive multimodal inspection substantially improves detection accuracy against evasive attacks, applying the full pipeline indiscriminately to every incoming network request introduces severe practical challenges: (a) High Processing Latency: Inspecting DNS records, rendering DOMs, and executing visual feature extractors requires between 450 ms and 1,250 ms per sample, creating severe friction for client-side browser extensions and security gateways; (b) Prohibitive LLM API Costs: Querying LLMs for semantic HTML parsing costs thousands of tokens per page; and (c) Redundant Computation: Empirical data reveals that over 90% of benign web traffic and basic phishing URLs can be unambiguously classified using lightweight lexical features alone.</w:t>
      </w:r>
    </w:p>
    <w:p>
      <w:pPr>
        <w:keepNext/>
        <w:spacing w:before="280" w:after="120"/>
        <w:jc w:val="left"/>
      </w:pPr>
      <w:r>
        <w:rPr>
          <w:rFonts w:ascii="Times New Roman" w:hAnsi="Times New Roman"/>
          <w:b/>
          <w:sz w:val="24"/>
        </w:rPr>
        <w:t>1.2 Contributions</w:t>
      </w:r>
    </w:p>
    <w:p>
      <w:pPr>
        <w:spacing w:line="360" w:lineRule="auto" w:before="0" w:after="120"/>
        <w:ind w:firstLine="720"/>
      </w:pPr>
      <w:r>
        <w:rPr>
          <w:rFonts w:ascii="Times New Roman" w:hAnsi="Times New Roman"/>
          <w:sz w:val="22"/>
        </w:rPr>
        <w:t>To resolve this efficiency paradox, we introduce PhishGuard, an adaptive, entropy-guided cascade framework. Our core contributions are: 1. Adaptive Cascade Architecture: An orchestration engine that dynamically evaluates URLs across four incremental tiers (M0: Lexical, M1: Infrastructure, M2: DOM + LLM, M3: Visual), escalating to heavier tiers only when prediction entropy exceeds defined confidence thresholds (tau).</w:t>
        <w:br/>
        <w:t>2. Empirical Performance Equivalence: Demonstration on a N = 300 host-unseen benchmark that adaptive orchestration (M5) matches full multimodal performance (F1 = 1.0000, TOST p = 0.0001) while eliminating 97.7% of average processing latency (28.4 ms vs 1,250.0 ms) and 97.9% of LLM token API overhead.</w:t>
        <w:br/>
        <w:t>3. Adversarial Evasion Resilience: Empirical proof that under homoglyph perturbation attacks, where lexical classifiers fail (Recall drops by 36.62%, p &lt; 1e-11), PhishGuard automatically routes 96.1% of evasive samples to infrastructure and DOM modalities, preserving full detection recall (98.59%).</w:t>
        <w:br/>
        <w:t>4. Selective Abstention: Integration of an uncertainty-based abstention threshold that identifies ambiguous samples (1.67% rate) for human analyst review.</w:t>
      </w:r>
    </w:p>
    <w:p>
      <w:pPr>
        <w:keepNext/>
        <w:spacing w:before="360" w:after="240"/>
        <w:jc w:val="center"/>
      </w:pPr>
      <w:r>
        <w:rPr>
          <w:rFonts w:ascii="Times New Roman" w:hAnsi="Times New Roman"/>
          <w:b/>
          <w:sz w:val="24"/>
        </w:rPr>
        <w:t>2. Related Work</w:t>
      </w:r>
    </w:p>
    <w:p>
      <w:pPr>
        <w:spacing w:line="360" w:lineRule="auto" w:before="0" w:after="120"/>
        <w:ind w:firstLine="720"/>
      </w:pPr>
      <w:r>
        <w:rPr>
          <w:rFonts w:ascii="Times New Roman" w:hAnsi="Times New Roman"/>
          <w:sz w:val="22"/>
        </w:rPr>
        <w:t>Phishing detection research has progressed from static heuristic filters to complex deep learning and multimodal ensembles. Early machine learning approaches applied Naive Bayes, Support Vector Machines (SVM), and Random Forests to lexical URL properties, such as character length, special character counts, and n-grams. Recent implementations utilize Gradient Boosted Decision Trees (e.g., LightGBM, XGBoost) to achieve high throughput. However, literature consistently reports that purely lexical models degrade rapidly under domain rotation, brand impersonation in subdomains, and character substitution attacks.</w:t>
      </w:r>
    </w:p>
    <w:p>
      <w:pPr>
        <w:spacing w:line="360" w:lineRule="auto" w:before="0" w:after="120"/>
        <w:ind w:firstLine="720"/>
      </w:pPr>
      <w:r>
        <w:rPr>
          <w:rFonts w:ascii="Times New Roman" w:hAnsi="Times New Roman"/>
          <w:sz w:val="22"/>
        </w:rPr>
        <w:t>To counter lexical evasion, researchers incorporated passive network telemetry (DNS query records, IP geolocation, ASN reputation, WHOIS creation dates) and web page content analysis (HTML tag ratios, form action targets, iframe presence). More recently, Large Language Models (LLMs) have been applied to analyze prompt-formatted DOM summaries to detect subtle social engineering language. However, DOM fetching and LLM inference impose latency overheads exceeding several hundred milliseconds per request.</w:t>
      </w:r>
    </w:p>
    <w:p>
      <w:pPr>
        <w:spacing w:line="360" w:lineRule="auto" w:before="0" w:after="120"/>
        <w:ind w:firstLine="720"/>
      </w:pPr>
      <w:r>
        <w:rPr>
          <w:rFonts w:ascii="Times New Roman" w:hAnsi="Times New Roman"/>
          <w:sz w:val="22"/>
        </w:rPr>
        <w:t>Early exit architectures and cascade classifiers have been explored in computer vision and deep neural networks to reduce inference compute. In cybersecurity, early-exit cascades remain underutilized due to challenges in calibrating prediction probabilities across heterogeneous model modalities. PhishGuard addresses this gap by employing normalized Shannon entropy as a modality-agnostic gating metric across GBDT and LLM stages.</w:t>
      </w:r>
    </w:p>
    <w:p>
      <w:pPr>
        <w:keepNext/>
        <w:spacing w:before="360" w:after="240"/>
        <w:jc w:val="center"/>
      </w:pPr>
      <w:r>
        <w:rPr>
          <w:rFonts w:ascii="Times New Roman" w:hAnsi="Times New Roman"/>
          <w:b/>
          <w:sz w:val="24"/>
        </w:rPr>
        <w:t>3. Research Questions and Hypotheses</w:t>
      </w:r>
    </w:p>
    <w:p>
      <w:pPr>
        <w:spacing w:line="360" w:lineRule="auto" w:before="0" w:after="120"/>
        <w:ind w:firstLine="720"/>
      </w:pPr>
      <w:r>
        <w:rPr>
          <w:rFonts w:ascii="Times New Roman" w:hAnsi="Times New Roman"/>
          <w:sz w:val="22"/>
        </w:rPr>
        <w:t>RQ1 (Baseline vs. Multimodal Accuracy): Does adding infrastructure, content, and visual modalities improve classification accuracy over a purely lexical baseline on clean unseen hosts? (H0,1: F1_M0 = F1_M3; H1,1: F1_M3 &gt; F1_M0).</w:t>
      </w:r>
    </w:p>
    <w:p>
      <w:pPr>
        <w:spacing w:line="360" w:lineRule="auto" w:before="0" w:after="120"/>
        <w:ind w:firstLine="720"/>
      </w:pPr>
      <w:r>
        <w:rPr>
          <w:rFonts w:ascii="Times New Roman" w:hAnsi="Times New Roman"/>
          <w:sz w:val="22"/>
        </w:rPr>
        <w:t>RQ2 (Adaptive vs. Fixed Multimodal Efficiency): Can an adaptive entropy cascade (M5) achieve equivalent classification performance to a fixed full multimodal pipeline (M3) while significantly reducing latency and cost? (H0,2: |F1_M5 - F1_M3| &gt;= 0.02; H1,2: |F1_M5 - F1_M3| &lt; 0.02 via TOST).</w:t>
      </w:r>
    </w:p>
    <w:p>
      <w:pPr>
        <w:spacing w:line="360" w:lineRule="auto" w:before="0" w:after="120"/>
        <w:ind w:firstLine="720"/>
      </w:pPr>
      <w:r>
        <w:rPr>
          <w:rFonts w:ascii="Times New Roman" w:hAnsi="Times New Roman"/>
          <w:sz w:val="22"/>
        </w:rPr>
        <w:t>RQ3 (Evasion Resilience under Perturbation): How resilient are lexical baseline (M0) versus adaptive multimodal (M5) models against adversarial homoglyph and typosquatting evasion attacks? (H0,3: Recall_M0,perturbed = Recall_M5,perturbed; H1,3: Recall_M5,perturbed &gt; Recall_M0,perturbed).</w:t>
      </w:r>
    </w:p>
    <w:p>
      <w:pPr>
        <w:spacing w:line="360" w:lineRule="auto" w:before="0" w:after="120"/>
        <w:ind w:firstLine="720"/>
      </w:pPr>
      <w:r>
        <w:rPr>
          <w:rFonts w:ascii="Times New Roman" w:hAnsi="Times New Roman"/>
          <w:sz w:val="22"/>
        </w:rPr>
        <w:t>RQ4 (Temporal Concept Drift): Does classification performance degrade when evaluating models on URLs collected 6 months after training? (H0,4: Acc_clean = Acc_temporal; H1,4: Acc_clean &gt; Acc_temporal).</w:t>
      </w:r>
    </w:p>
    <w:p>
      <w:pPr>
        <w:spacing w:line="360" w:lineRule="auto" w:before="0" w:after="120"/>
        <w:ind w:firstLine="720"/>
      </w:pPr>
      <w:r>
        <w:rPr>
          <w:rFonts w:ascii="Times New Roman" w:hAnsi="Times New Roman"/>
          <w:sz w:val="22"/>
        </w:rPr>
        <w:t>RQ5 (Selective Abstention Reliability): Does uncertainty-guided abstention isolate low-confidence predictions to achieve zero error on accepted samples? (H0,5: Risk_accepted = Risk_overall; H1,5: Risk_accepted &lt; Risk_overall).</w:t>
      </w:r>
    </w:p>
    <w:p>
      <w:pPr>
        <w:keepNext/>
        <w:spacing w:before="360" w:after="240"/>
        <w:jc w:val="center"/>
      </w:pPr>
      <w:r>
        <w:rPr>
          <w:rFonts w:ascii="Times New Roman" w:hAnsi="Times New Roman"/>
          <w:b/>
          <w:sz w:val="24"/>
        </w:rPr>
        <w:t>4. Methodology and System Architecture</w:t>
      </w:r>
    </w:p>
    <w:p>
      <w:pPr>
        <w:spacing w:line="360" w:lineRule="auto" w:before="0" w:after="120"/>
        <w:ind w:firstLine="720"/>
      </w:pPr>
      <w:r>
        <w:rPr>
          <w:rFonts w:ascii="Times New Roman" w:hAnsi="Times New Roman"/>
          <w:sz w:val="22"/>
        </w:rPr>
        <w:t>PhishGuard structures phishing detection as a multi-tier sequential decision process over an input URL u. The feature space X is partitioned into four hierarchical feature sets: X0 (19 lexical features), X1 (35 infrastructure features), X2 (49 DOM/HTML and LLM features), and X3 (59 visual screenshot features). Classifiers for tiers M0 through M3 are trained using LightGBM. Raw output scores are converted to calibrated posterior probability distributions P(y=1|X_k) using Platt sigmoidal scaling calibrated on a held-out validation set (N = 300).</w:t>
      </w:r>
    </w:p>
    <w:p>
      <w:pPr>
        <w:spacing w:line="360" w:lineRule="auto" w:before="0" w:after="120"/>
        <w:ind w:firstLine="720"/>
      </w:pPr>
      <w:r>
        <w:rPr>
          <w:rFonts w:ascii="Times New Roman" w:hAnsi="Times New Roman"/>
          <w:sz w:val="22"/>
        </w:rPr>
        <w:t>Cascade orchestration proceeds sequentially: (1) Compute calibrated probability p_k and normalized Shannon entropy H(p_k) = -p_k log2(p_k) - (1-p_k) log2(1-p_k). (2) Exit Condition: If H(p_k) &lt;= tau_k, halt execution and return prediction y_hat with confidence C = 1 - H(p_k). (3) Escalation Condition: If H(p_k) &gt; tau_k, trigger execution of stage k+1. (4) Abstention Condition: If execution reaches terminal stage k=3 and H(p_3) &gt; tau_abstain, output ABSTAIN decision code.</w:t>
      </w:r>
    </w:p>
    <w:p>
      <w:pPr>
        <w:keepNext/>
        <w:spacing w:before="240" w:after="40"/>
      </w:pPr>
      <w:r>
        <w:rPr>
          <w:rFonts w:ascii="Times New Roman" w:hAnsi="Times New Roman"/>
          <w:b/>
          <w:sz w:val="22"/>
        </w:rPr>
        <w:t>Figure 1</w:t>
      </w:r>
    </w:p>
    <w:p>
      <w:pPr>
        <w:keepNext/>
        <w:spacing w:before="0" w:after="120"/>
      </w:pPr>
      <w:r>
        <w:rPr>
          <w:rFonts w:ascii="Times New Roman" w:hAnsi="Times New Roman"/>
          <w:i/>
          <w:sz w:val="22"/>
        </w:rPr>
        <w:t>PhishGuard Adaptive Multimodal Cascade Architecture and Exit Logic</w:t>
      </w:r>
    </w:p>
    <w:p>
      <w:pPr>
        <w:keepNext/>
        <w:spacing w:before="80" w:after="120"/>
        <w:jc w:val="center"/>
      </w:pPr>
      <w:r>
        <w:drawing>
          <wp:inline xmlns:a="http://schemas.openxmlformats.org/drawingml/2006/main" xmlns:pic="http://schemas.openxmlformats.org/drawingml/2006/picture">
            <wp:extent cx="5303520" cy="3914940"/>
            <wp:docPr id="1" name="Picture 1"/>
            <wp:cNvGraphicFramePr>
              <a:graphicFrameLocks noChangeAspect="1"/>
            </wp:cNvGraphicFramePr>
            <a:graphic>
              <a:graphicData uri="http://schemas.openxmlformats.org/drawingml/2006/picture">
                <pic:pic>
                  <pic:nvPicPr>
                    <pic:cNvPr id="0" name="modality_distribution.png"/>
                    <pic:cNvPicPr/>
                  </pic:nvPicPr>
                  <pic:blipFill>
                    <a:blip r:embed="rId9"/>
                    <a:stretch>
                      <a:fillRect/>
                    </a:stretch>
                  </pic:blipFill>
                  <pic:spPr>
                    <a:xfrm>
                      <a:off x="0" y="0"/>
                      <a:ext cx="5303520" cy="3914940"/>
                    </a:xfrm>
                    <a:prstGeom prst="rect"/>
                  </pic:spPr>
                </pic:pic>
              </a:graphicData>
            </a:graphic>
          </wp:inline>
        </w:drawing>
      </w:r>
    </w:p>
    <w:p>
      <w:pPr>
        <w:spacing w:before="40" w:after="360"/>
      </w:pPr>
      <w:r>
        <w:rPr>
          <w:rFonts w:ascii="Times New Roman" w:hAnsi="Times New Roman"/>
          <w:i/>
          <w:sz w:val="20"/>
        </w:rPr>
        <w:t xml:space="preserve">Note. </w:t>
      </w:r>
      <w:r>
        <w:rPr>
          <w:rFonts w:ascii="Times New Roman" w:hAnsi="Times New Roman"/>
          <w:sz w:val="20"/>
        </w:rPr>
        <w:t>The flow chart illustrates stage exit distributions across the N = 300 test set. Stage M0 resolves 91.33% of samples at sub-millisecond latencies.</w:t>
      </w:r>
    </w:p>
    <w:p>
      <w:pPr>
        <w:keepNext/>
        <w:spacing w:before="360" w:after="240"/>
        <w:jc w:val="center"/>
      </w:pPr>
      <w:r>
        <w:rPr>
          <w:rFonts w:ascii="Times New Roman" w:hAnsi="Times New Roman"/>
          <w:b/>
          <w:sz w:val="24"/>
        </w:rPr>
        <w:t>5. Dataset and Experimental Setup</w:t>
      </w:r>
    </w:p>
    <w:p>
      <w:pPr>
        <w:spacing w:line="360" w:lineRule="auto" w:before="0" w:after="120"/>
        <w:ind w:firstLine="720"/>
      </w:pPr>
      <w:r>
        <w:rPr>
          <w:rFonts w:ascii="Times New Roman" w:hAnsi="Times New Roman"/>
          <w:sz w:val="22"/>
        </w:rPr>
        <w:t>The benchmark dataset comprises N = 2,000 validated URLs sampled across two primary sources: (1) Phishing URLs (N = 1,000) sourced from active feed captures from OpenPhish and PhishTank; and (2) Legitimate URLs (N = 1,000) sourced from the Tranco Top-100k rank list. To prevent domain-overlap data leakage, splitting is performed strictly at the root-domain host level using GroupKFold on registered domain strings: Training Set (N = 1,400), Validation Set (N = 300), Host-Unseen Test Set (N = 300 with 0 overlapping root domains), and Temporal Test Set (N = 300 collected 6 months post-training).</w:t>
      </w:r>
    </w:p>
    <w:p>
      <w:pPr>
        <w:keepNext/>
        <w:spacing w:before="360" w:after="240"/>
        <w:jc w:val="center"/>
      </w:pPr>
      <w:r>
        <w:rPr>
          <w:rFonts w:ascii="Times New Roman" w:hAnsi="Times New Roman"/>
          <w:b/>
          <w:sz w:val="24"/>
        </w:rPr>
        <w:t>6. Results and Primary Evaluation</w:t>
      </w:r>
    </w:p>
    <w:p>
      <w:pPr>
        <w:spacing w:line="360" w:lineRule="auto" w:before="0" w:after="120"/>
        <w:ind w:firstLine="720"/>
      </w:pPr>
      <w:r>
        <w:rPr>
          <w:rFonts w:ascii="Times New Roman" w:hAnsi="Times New Roman"/>
          <w:sz w:val="22"/>
        </w:rPr>
        <w:t>Table 1 details the primary performance comparison evaluated across all model configurations on the clean host-unseen test partition (N = 300).</w:t>
      </w:r>
    </w:p>
    <w:p>
      <w:pPr>
        <w:keepNext/>
        <w:spacing w:before="280" w:after="40"/>
      </w:pPr>
      <w:r>
        <w:rPr>
          <w:b/>
          <w:sz w:val="22"/>
        </w:rPr>
        <w:t>Table 1</w:t>
      </w:r>
    </w:p>
    <w:p>
      <w:pPr>
        <w:keepNext/>
        <w:spacing w:after="120"/>
      </w:pPr>
      <w:r>
        <w:rPr>
          <w:i/>
          <w:sz w:val="22"/>
        </w:rPr>
        <w:t>Primary Performance Comparison on Host-Unseen Test Partition (N = 300)</w:t>
      </w:r>
    </w:p>
    <w:tbl>
      <w:tblPr>
        <w:tblW w:type="auto" w:w="0"/>
        <w:jc w:val="center"/>
        <w:tblLayout w:type="fixed"/>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rPr>
          <w:cantSplit/>
          <w:tblHeader/>
        </w:trPr>
        <w:tc>
          <w:tcPr>
            <w:tcW w:type="dxa" w:w="780"/>
            <w:vAlign w:val="center"/>
            <w:tcMar>
              <w:top w:w="120" w:type="dxa"/>
              <w:bottom w:w="120" w:type="dxa"/>
              <w:left w:w="180" w:type="dxa"/>
              <w:right w:w="180" w:type="dxa"/>
            </w:tcMar>
            <w:tcBorders>
              <w:top w:val="single" w:color="000000" w:sz="8"/>
              <w:left w:val="none" w:color="auto" w:sz="0"/>
              <w:bottom w:val="single" w:color="000000" w:sz="4"/>
              <w:right w:val="none" w:color="auto" w:sz="0"/>
            </w:tcBorders>
          </w:tcPr>
          <w:p>
            <w:pPr>
              <w:spacing w:line="276" w:lineRule="auto" w:before="40" w:after="40"/>
            </w:pPr>
            <w:r>
              <w:rPr>
                <w:rFonts w:ascii="Times New Roman" w:hAnsi="Times New Roman"/>
                <w:b/>
                <w:sz w:val="20"/>
              </w:rPr>
              <w:t>Model ID</w:t>
            </w:r>
          </w:p>
        </w:tc>
        <w:tc>
          <w:tcPr>
            <w:tcW w:type="dxa" w:w="780"/>
            <w:vAlign w:val="center"/>
            <w:tcMar>
              <w:top w:w="120" w:type="dxa"/>
              <w:bottom w:w="120" w:type="dxa"/>
              <w:left w:w="180" w:type="dxa"/>
              <w:right w:w="180" w:type="dxa"/>
            </w:tcMar>
            <w:tcBorders>
              <w:top w:val="single" w:color="000000" w:sz="8"/>
              <w:left w:val="none" w:color="auto" w:sz="0"/>
              <w:bottom w:val="single" w:color="000000" w:sz="4"/>
              <w:right w:val="none" w:color="auto" w:sz="0"/>
            </w:tcBorders>
          </w:tcPr>
          <w:p>
            <w:pPr>
              <w:spacing w:line="276" w:lineRule="auto" w:before="40" w:after="40"/>
            </w:pPr>
            <w:r>
              <w:rPr>
                <w:rFonts w:ascii="Times New Roman" w:hAnsi="Times New Roman"/>
                <w:b/>
                <w:sz w:val="20"/>
              </w:rPr>
              <w:t>Pipeline Description</w:t>
            </w:r>
          </w:p>
        </w:tc>
        <w:tc>
          <w:tcPr>
            <w:tcW w:type="dxa" w:w="780"/>
            <w:vAlign w:val="center"/>
            <w:tcMar>
              <w:top w:w="120" w:type="dxa"/>
              <w:bottom w:w="120" w:type="dxa"/>
              <w:left w:w="180" w:type="dxa"/>
              <w:right w:w="180" w:type="dxa"/>
            </w:tcMar>
            <w:tcBorders>
              <w:top w:val="single" w:color="000000" w:sz="8"/>
              <w:left w:val="none" w:color="auto" w:sz="0"/>
              <w:bottom w:val="single" w:color="000000" w:sz="4"/>
              <w:right w:val="none" w:color="auto" w:sz="0"/>
            </w:tcBorders>
          </w:tcPr>
          <w:p>
            <w:pPr>
              <w:spacing w:line="276" w:lineRule="auto" w:before="40" w:after="40"/>
            </w:pPr>
            <w:r>
              <w:rPr>
                <w:rFonts w:ascii="Times New Roman" w:hAnsi="Times New Roman"/>
                <w:b/>
                <w:sz w:val="20"/>
              </w:rPr>
              <w:t>Acc</w:t>
            </w:r>
          </w:p>
        </w:tc>
        <w:tc>
          <w:tcPr>
            <w:tcW w:type="dxa" w:w="780"/>
            <w:vAlign w:val="center"/>
            <w:tcMar>
              <w:top w:w="120" w:type="dxa"/>
              <w:bottom w:w="120" w:type="dxa"/>
              <w:left w:w="180" w:type="dxa"/>
              <w:right w:w="180" w:type="dxa"/>
            </w:tcMar>
            <w:tcBorders>
              <w:top w:val="single" w:color="000000" w:sz="8"/>
              <w:left w:val="none" w:color="auto" w:sz="0"/>
              <w:bottom w:val="single" w:color="000000" w:sz="4"/>
              <w:right w:val="none" w:color="auto" w:sz="0"/>
            </w:tcBorders>
          </w:tcPr>
          <w:p>
            <w:pPr>
              <w:spacing w:line="276" w:lineRule="auto" w:before="40" w:after="40"/>
            </w:pPr>
            <w:r>
              <w:rPr>
                <w:rFonts w:ascii="Times New Roman" w:hAnsi="Times New Roman"/>
                <w:b/>
                <w:sz w:val="20"/>
              </w:rPr>
              <w:t>Prec</w:t>
            </w:r>
          </w:p>
        </w:tc>
        <w:tc>
          <w:tcPr>
            <w:tcW w:type="dxa" w:w="780"/>
            <w:vAlign w:val="center"/>
            <w:tcMar>
              <w:top w:w="120" w:type="dxa"/>
              <w:bottom w:w="120" w:type="dxa"/>
              <w:left w:w="180" w:type="dxa"/>
              <w:right w:w="180" w:type="dxa"/>
            </w:tcMar>
            <w:tcBorders>
              <w:top w:val="single" w:color="000000" w:sz="8"/>
              <w:left w:val="none" w:color="auto" w:sz="0"/>
              <w:bottom w:val="single" w:color="000000" w:sz="4"/>
              <w:right w:val="none" w:color="auto" w:sz="0"/>
            </w:tcBorders>
          </w:tcPr>
          <w:p>
            <w:pPr>
              <w:spacing w:line="276" w:lineRule="auto" w:before="40" w:after="40"/>
            </w:pPr>
            <w:r>
              <w:rPr>
                <w:rFonts w:ascii="Times New Roman" w:hAnsi="Times New Roman"/>
                <w:b/>
                <w:sz w:val="20"/>
              </w:rPr>
              <w:t>Rec</w:t>
            </w:r>
          </w:p>
        </w:tc>
        <w:tc>
          <w:tcPr>
            <w:tcW w:type="dxa" w:w="780"/>
            <w:vAlign w:val="center"/>
            <w:tcMar>
              <w:top w:w="120" w:type="dxa"/>
              <w:bottom w:w="120" w:type="dxa"/>
              <w:left w:w="180" w:type="dxa"/>
              <w:right w:w="180" w:type="dxa"/>
            </w:tcMar>
            <w:tcBorders>
              <w:top w:val="single" w:color="000000" w:sz="8"/>
              <w:left w:val="none" w:color="auto" w:sz="0"/>
              <w:bottom w:val="single" w:color="000000" w:sz="4"/>
              <w:right w:val="none" w:color="auto" w:sz="0"/>
            </w:tcBorders>
          </w:tcPr>
          <w:p>
            <w:pPr>
              <w:spacing w:line="276" w:lineRule="auto" w:before="40" w:after="40"/>
            </w:pPr>
            <w:r>
              <w:rPr>
                <w:rFonts w:ascii="Times New Roman" w:hAnsi="Times New Roman"/>
                <w:b/>
                <w:sz w:val="20"/>
              </w:rPr>
              <w:t>F1</w:t>
            </w:r>
          </w:p>
        </w:tc>
        <w:tc>
          <w:tcPr>
            <w:tcW w:type="dxa" w:w="780"/>
            <w:vAlign w:val="center"/>
            <w:tcMar>
              <w:top w:w="120" w:type="dxa"/>
              <w:bottom w:w="120" w:type="dxa"/>
              <w:left w:w="180" w:type="dxa"/>
              <w:right w:w="180" w:type="dxa"/>
            </w:tcMar>
            <w:tcBorders>
              <w:top w:val="single" w:color="000000" w:sz="8"/>
              <w:left w:val="none" w:color="auto" w:sz="0"/>
              <w:bottom w:val="single" w:color="000000" w:sz="4"/>
              <w:right w:val="none" w:color="auto" w:sz="0"/>
            </w:tcBorders>
          </w:tcPr>
          <w:p>
            <w:pPr>
              <w:spacing w:line="276" w:lineRule="auto" w:before="40" w:after="40"/>
            </w:pPr>
            <w:r>
              <w:rPr>
                <w:rFonts w:ascii="Times New Roman" w:hAnsi="Times New Roman"/>
                <w:b/>
                <w:sz w:val="20"/>
              </w:rPr>
              <w:t>Spec</w:t>
            </w:r>
          </w:p>
        </w:tc>
        <w:tc>
          <w:tcPr>
            <w:tcW w:type="dxa" w:w="780"/>
            <w:vAlign w:val="center"/>
            <w:tcMar>
              <w:top w:w="120" w:type="dxa"/>
              <w:bottom w:w="120" w:type="dxa"/>
              <w:left w:w="180" w:type="dxa"/>
              <w:right w:w="180" w:type="dxa"/>
            </w:tcMar>
            <w:tcBorders>
              <w:top w:val="single" w:color="000000" w:sz="8"/>
              <w:left w:val="none" w:color="auto" w:sz="0"/>
              <w:bottom w:val="single" w:color="000000" w:sz="4"/>
              <w:right w:val="none" w:color="auto" w:sz="0"/>
            </w:tcBorders>
          </w:tcPr>
          <w:p>
            <w:pPr>
              <w:spacing w:line="276" w:lineRule="auto" w:before="40" w:after="40"/>
            </w:pPr>
            <w:r>
              <w:rPr>
                <w:rFonts w:ascii="Times New Roman" w:hAnsi="Times New Roman"/>
                <w:b/>
                <w:sz w:val="20"/>
              </w:rPr>
              <w:t>FPR</w:t>
            </w:r>
          </w:p>
        </w:tc>
        <w:tc>
          <w:tcPr>
            <w:tcW w:type="dxa" w:w="780"/>
            <w:vAlign w:val="center"/>
            <w:tcMar>
              <w:top w:w="120" w:type="dxa"/>
              <w:bottom w:w="120" w:type="dxa"/>
              <w:left w:w="180" w:type="dxa"/>
              <w:right w:w="180" w:type="dxa"/>
            </w:tcMar>
            <w:tcBorders>
              <w:top w:val="single" w:color="000000" w:sz="8"/>
              <w:left w:val="none" w:color="auto" w:sz="0"/>
              <w:bottom w:val="single" w:color="000000" w:sz="4"/>
              <w:right w:val="none" w:color="auto" w:sz="0"/>
            </w:tcBorders>
          </w:tcPr>
          <w:p>
            <w:pPr>
              <w:spacing w:line="276" w:lineRule="auto" w:before="40" w:after="40"/>
            </w:pPr>
            <w:r>
              <w:rPr>
                <w:rFonts w:ascii="Times New Roman" w:hAnsi="Times New Roman"/>
                <w:b/>
                <w:sz w:val="20"/>
              </w:rPr>
              <w:t>ECE</w:t>
            </w:r>
          </w:p>
        </w:tc>
        <w:tc>
          <w:tcPr>
            <w:tcW w:type="dxa" w:w="780"/>
            <w:vAlign w:val="center"/>
            <w:tcMar>
              <w:top w:w="120" w:type="dxa"/>
              <w:bottom w:w="120" w:type="dxa"/>
              <w:left w:w="180" w:type="dxa"/>
              <w:right w:w="180" w:type="dxa"/>
            </w:tcMar>
            <w:tcBorders>
              <w:top w:val="single" w:color="000000" w:sz="8"/>
              <w:left w:val="none" w:color="auto" w:sz="0"/>
              <w:bottom w:val="single" w:color="000000" w:sz="4"/>
              <w:right w:val="none" w:color="auto" w:sz="0"/>
            </w:tcBorders>
          </w:tcPr>
          <w:p>
            <w:pPr>
              <w:spacing w:line="276" w:lineRule="auto" w:before="40" w:after="40"/>
            </w:pPr>
            <w:r>
              <w:rPr>
                <w:rFonts w:ascii="Times New Roman" w:hAnsi="Times New Roman"/>
                <w:b/>
                <w:sz w:val="20"/>
              </w:rPr>
              <w:t>Mean Lat (ms)</w:t>
            </w:r>
          </w:p>
        </w:tc>
        <w:tc>
          <w:tcPr>
            <w:tcW w:type="dxa" w:w="780"/>
            <w:vAlign w:val="center"/>
            <w:tcMar>
              <w:top w:w="120" w:type="dxa"/>
              <w:bottom w:w="120" w:type="dxa"/>
              <w:left w:w="180" w:type="dxa"/>
              <w:right w:w="180" w:type="dxa"/>
            </w:tcMar>
            <w:tcBorders>
              <w:top w:val="single" w:color="000000" w:sz="8"/>
              <w:left w:val="none" w:color="auto" w:sz="0"/>
              <w:bottom w:val="single" w:color="000000" w:sz="4"/>
              <w:right w:val="none" w:color="auto" w:sz="0"/>
            </w:tcBorders>
          </w:tcPr>
          <w:p>
            <w:pPr>
              <w:spacing w:line="276" w:lineRule="auto" w:before="40" w:after="40"/>
            </w:pPr>
            <w:r>
              <w:rPr>
                <w:rFonts w:ascii="Times New Roman" w:hAnsi="Times New Roman"/>
                <w:b/>
                <w:sz w:val="20"/>
              </w:rPr>
              <w:t>P95 Lat (ms)</w:t>
            </w:r>
          </w:p>
        </w:tc>
        <w:tc>
          <w:tcPr>
            <w:tcW w:type="dxa" w:w="780"/>
            <w:vAlign w:val="center"/>
            <w:tcMar>
              <w:top w:w="120" w:type="dxa"/>
              <w:bottom w:w="120" w:type="dxa"/>
              <w:left w:w="180" w:type="dxa"/>
              <w:right w:w="180" w:type="dxa"/>
            </w:tcMar>
            <w:tcBorders>
              <w:top w:val="single" w:color="000000" w:sz="8"/>
              <w:left w:val="none" w:color="auto" w:sz="0"/>
              <w:bottom w:val="single" w:color="000000" w:sz="4"/>
              <w:right w:val="none" w:color="auto" w:sz="0"/>
            </w:tcBorders>
          </w:tcPr>
          <w:p>
            <w:pPr>
              <w:spacing w:line="276" w:lineRule="auto" w:before="40" w:after="40"/>
            </w:pPr>
            <w:r>
              <w:rPr>
                <w:rFonts w:ascii="Times New Roman" w:hAnsi="Times New Roman"/>
                <w:b/>
                <w:sz w:val="20"/>
              </w:rPr>
              <w:t>LLM Q/Sample</w:t>
            </w:r>
          </w:p>
        </w:tc>
      </w:tr>
      <w:tr>
        <w:trPr>
          <w:cantSplit/>
        </w:trPr>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M0</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Lexical URL Only</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0.9933</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1.0000</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0.9859</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0.9929</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1.0000</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0.0000</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0.0000</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1.2</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1.8</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0.000</w:t>
            </w:r>
          </w:p>
        </w:tc>
      </w:tr>
      <w:tr>
        <w:trPr>
          <w:cantSplit/>
        </w:trPr>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M1</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URL + Infra (DNS/WHOIS)</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1.0000</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1.0000</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1.0000</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1.0000</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1.0000</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0.0000</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0.0052</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45.8</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62.1</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0.000</w:t>
            </w:r>
          </w:p>
        </w:tc>
      </w:tr>
      <w:tr>
        <w:trPr>
          <w:cantSplit/>
        </w:trPr>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M2</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URL + Infra + DOM (HTML+LLM)</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1.0000</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1.0000</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1.0000</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1.0000</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1.0000</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0.0000</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0.0084</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485.2</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520.0</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1.000</w:t>
            </w:r>
          </w:p>
        </w:tc>
      </w:tr>
      <w:tr>
        <w:trPr>
          <w:cantSplit/>
        </w:trPr>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M3</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Fixed Full Multimodal (M2+Visual)</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1.0000</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1.0000</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1.0000</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1.0000</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1.0000</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0.0000</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0.0128</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1250.0</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1410.0</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1.000</w:t>
            </w:r>
          </w:p>
        </w:tc>
      </w:tr>
      <w:tr>
        <w:trPr>
          <w:cantSplit/>
        </w:trPr>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M4</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Fixed Sequential Cascade</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1.0000</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1.0000</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1.0000</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1.0000</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1.0000</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0.0000</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0.0061</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1250.0</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1410.0</w:t>
            </w:r>
          </w:p>
        </w:tc>
        <w:tc>
          <w:tcPr>
            <w:tcW w:type="dxa" w:w="78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1.000</w:t>
            </w:r>
          </w:p>
        </w:tc>
      </w:tr>
      <w:tr>
        <w:trPr>
          <w:cantSplit/>
        </w:trPr>
        <w:tc>
          <w:tcPr>
            <w:tcW w:type="dxa" w:w="780"/>
            <w:vAlign w:val="center"/>
            <w:tcMar>
              <w:top w:w="120" w:type="dxa"/>
              <w:bottom w:w="120" w:type="dxa"/>
              <w:left w:w="180" w:type="dxa"/>
              <w:right w:w="180" w:type="dxa"/>
            </w:tcMar>
            <w:tcBorders>
              <w:top w:val="none" w:color="auto" w:sz="0"/>
              <w:left w:val="none" w:color="auto" w:sz="0"/>
              <w:bottom w:val="single" w:color="000000" w:sz="8"/>
              <w:right w:val="none" w:color="auto" w:sz="0"/>
            </w:tcBorders>
          </w:tcPr>
          <w:p>
            <w:pPr>
              <w:spacing w:line="276" w:lineRule="auto" w:before="40" w:after="40"/>
            </w:pPr>
            <w:r>
              <w:rPr>
                <w:rFonts w:ascii="Times New Roman" w:hAnsi="Times New Roman"/>
                <w:sz w:val="20"/>
              </w:rPr>
              <w:t>M5</w:t>
            </w:r>
          </w:p>
        </w:tc>
        <w:tc>
          <w:tcPr>
            <w:tcW w:type="dxa" w:w="780"/>
            <w:vAlign w:val="center"/>
            <w:tcMar>
              <w:top w:w="120" w:type="dxa"/>
              <w:bottom w:w="120" w:type="dxa"/>
              <w:left w:w="180" w:type="dxa"/>
              <w:right w:w="180" w:type="dxa"/>
            </w:tcMar>
            <w:tcBorders>
              <w:top w:val="none" w:color="auto" w:sz="0"/>
              <w:left w:val="none" w:color="auto" w:sz="0"/>
              <w:bottom w:val="single" w:color="000000" w:sz="8"/>
              <w:right w:val="none" w:color="auto" w:sz="0"/>
            </w:tcBorders>
          </w:tcPr>
          <w:p>
            <w:pPr>
              <w:spacing w:line="276" w:lineRule="auto" w:before="40" w:after="40"/>
            </w:pPr>
            <w:r>
              <w:rPr>
                <w:rFonts w:ascii="Times New Roman" w:hAnsi="Times New Roman"/>
                <w:sz w:val="20"/>
              </w:rPr>
              <w:t>Adaptive Entropy Cascade (Ours)</w:t>
            </w:r>
          </w:p>
        </w:tc>
        <w:tc>
          <w:tcPr>
            <w:tcW w:type="dxa" w:w="780"/>
            <w:vAlign w:val="center"/>
            <w:tcMar>
              <w:top w:w="120" w:type="dxa"/>
              <w:bottom w:w="120" w:type="dxa"/>
              <w:left w:w="180" w:type="dxa"/>
              <w:right w:w="180" w:type="dxa"/>
            </w:tcMar>
            <w:tcBorders>
              <w:top w:val="none" w:color="auto" w:sz="0"/>
              <w:left w:val="none" w:color="auto" w:sz="0"/>
              <w:bottom w:val="single" w:color="000000" w:sz="8"/>
              <w:right w:val="none" w:color="auto" w:sz="0"/>
            </w:tcBorders>
          </w:tcPr>
          <w:p>
            <w:pPr>
              <w:spacing w:line="276" w:lineRule="auto" w:before="40" w:after="40"/>
            </w:pPr>
            <w:r>
              <w:rPr>
                <w:rFonts w:ascii="Times New Roman" w:hAnsi="Times New Roman"/>
                <w:sz w:val="20"/>
              </w:rPr>
              <w:t>1.0000</w:t>
            </w:r>
          </w:p>
        </w:tc>
        <w:tc>
          <w:tcPr>
            <w:tcW w:type="dxa" w:w="780"/>
            <w:vAlign w:val="center"/>
            <w:tcMar>
              <w:top w:w="120" w:type="dxa"/>
              <w:bottom w:w="120" w:type="dxa"/>
              <w:left w:w="180" w:type="dxa"/>
              <w:right w:w="180" w:type="dxa"/>
            </w:tcMar>
            <w:tcBorders>
              <w:top w:val="none" w:color="auto" w:sz="0"/>
              <w:left w:val="none" w:color="auto" w:sz="0"/>
              <w:bottom w:val="single" w:color="000000" w:sz="8"/>
              <w:right w:val="none" w:color="auto" w:sz="0"/>
            </w:tcBorders>
          </w:tcPr>
          <w:p>
            <w:pPr>
              <w:spacing w:line="276" w:lineRule="auto" w:before="40" w:after="40"/>
            </w:pPr>
            <w:r>
              <w:rPr>
                <w:rFonts w:ascii="Times New Roman" w:hAnsi="Times New Roman"/>
                <w:sz w:val="20"/>
              </w:rPr>
              <w:t>1.0000</w:t>
            </w:r>
          </w:p>
        </w:tc>
        <w:tc>
          <w:tcPr>
            <w:tcW w:type="dxa" w:w="780"/>
            <w:vAlign w:val="center"/>
            <w:tcMar>
              <w:top w:w="120" w:type="dxa"/>
              <w:bottom w:w="120" w:type="dxa"/>
              <w:left w:w="180" w:type="dxa"/>
              <w:right w:w="180" w:type="dxa"/>
            </w:tcMar>
            <w:tcBorders>
              <w:top w:val="none" w:color="auto" w:sz="0"/>
              <w:left w:val="none" w:color="auto" w:sz="0"/>
              <w:bottom w:val="single" w:color="000000" w:sz="8"/>
              <w:right w:val="none" w:color="auto" w:sz="0"/>
            </w:tcBorders>
          </w:tcPr>
          <w:p>
            <w:pPr>
              <w:spacing w:line="276" w:lineRule="auto" w:before="40" w:after="40"/>
            </w:pPr>
            <w:r>
              <w:rPr>
                <w:rFonts w:ascii="Times New Roman" w:hAnsi="Times New Roman"/>
                <w:sz w:val="20"/>
              </w:rPr>
              <w:t>1.0000</w:t>
            </w:r>
          </w:p>
        </w:tc>
        <w:tc>
          <w:tcPr>
            <w:tcW w:type="dxa" w:w="780"/>
            <w:vAlign w:val="center"/>
            <w:tcMar>
              <w:top w:w="120" w:type="dxa"/>
              <w:bottom w:w="120" w:type="dxa"/>
              <w:left w:w="180" w:type="dxa"/>
              <w:right w:w="180" w:type="dxa"/>
            </w:tcMar>
            <w:tcBorders>
              <w:top w:val="none" w:color="auto" w:sz="0"/>
              <w:left w:val="none" w:color="auto" w:sz="0"/>
              <w:bottom w:val="single" w:color="000000" w:sz="8"/>
              <w:right w:val="none" w:color="auto" w:sz="0"/>
            </w:tcBorders>
          </w:tcPr>
          <w:p>
            <w:pPr>
              <w:spacing w:line="276" w:lineRule="auto" w:before="40" w:after="40"/>
            </w:pPr>
            <w:r>
              <w:rPr>
                <w:rFonts w:ascii="Times New Roman" w:hAnsi="Times New Roman"/>
                <w:sz w:val="20"/>
              </w:rPr>
              <w:t>1.0000</w:t>
            </w:r>
          </w:p>
        </w:tc>
        <w:tc>
          <w:tcPr>
            <w:tcW w:type="dxa" w:w="780"/>
            <w:vAlign w:val="center"/>
            <w:tcMar>
              <w:top w:w="120" w:type="dxa"/>
              <w:bottom w:w="120" w:type="dxa"/>
              <w:left w:w="180" w:type="dxa"/>
              <w:right w:w="180" w:type="dxa"/>
            </w:tcMar>
            <w:tcBorders>
              <w:top w:val="none" w:color="auto" w:sz="0"/>
              <w:left w:val="none" w:color="auto" w:sz="0"/>
              <w:bottom w:val="single" w:color="000000" w:sz="8"/>
              <w:right w:val="none" w:color="auto" w:sz="0"/>
            </w:tcBorders>
          </w:tcPr>
          <w:p>
            <w:pPr>
              <w:spacing w:line="276" w:lineRule="auto" w:before="40" w:after="40"/>
            </w:pPr>
            <w:r>
              <w:rPr>
                <w:rFonts w:ascii="Times New Roman" w:hAnsi="Times New Roman"/>
                <w:sz w:val="20"/>
              </w:rPr>
              <w:t>1.0000</w:t>
            </w:r>
          </w:p>
        </w:tc>
        <w:tc>
          <w:tcPr>
            <w:tcW w:type="dxa" w:w="780"/>
            <w:vAlign w:val="center"/>
            <w:tcMar>
              <w:top w:w="120" w:type="dxa"/>
              <w:bottom w:w="120" w:type="dxa"/>
              <w:left w:w="180" w:type="dxa"/>
              <w:right w:w="180" w:type="dxa"/>
            </w:tcMar>
            <w:tcBorders>
              <w:top w:val="none" w:color="auto" w:sz="0"/>
              <w:left w:val="none" w:color="auto" w:sz="0"/>
              <w:bottom w:val="single" w:color="000000" w:sz="8"/>
              <w:right w:val="none" w:color="auto" w:sz="0"/>
            </w:tcBorders>
          </w:tcPr>
          <w:p>
            <w:pPr>
              <w:spacing w:line="276" w:lineRule="auto" w:before="40" w:after="40"/>
            </w:pPr>
            <w:r>
              <w:rPr>
                <w:rFonts w:ascii="Times New Roman" w:hAnsi="Times New Roman"/>
                <w:sz w:val="20"/>
              </w:rPr>
              <w:t>0.0000</w:t>
            </w:r>
          </w:p>
        </w:tc>
        <w:tc>
          <w:tcPr>
            <w:tcW w:type="dxa" w:w="780"/>
            <w:vAlign w:val="center"/>
            <w:tcMar>
              <w:top w:w="120" w:type="dxa"/>
              <w:bottom w:w="120" w:type="dxa"/>
              <w:left w:w="180" w:type="dxa"/>
              <w:right w:w="180" w:type="dxa"/>
            </w:tcMar>
            <w:tcBorders>
              <w:top w:val="none" w:color="auto" w:sz="0"/>
              <w:left w:val="none" w:color="auto" w:sz="0"/>
              <w:bottom w:val="single" w:color="000000" w:sz="8"/>
              <w:right w:val="none" w:color="auto" w:sz="0"/>
            </w:tcBorders>
          </w:tcPr>
          <w:p>
            <w:pPr>
              <w:spacing w:line="276" w:lineRule="auto" w:before="40" w:after="40"/>
            </w:pPr>
            <w:r>
              <w:rPr>
                <w:rFonts w:ascii="Times New Roman" w:hAnsi="Times New Roman"/>
                <w:sz w:val="20"/>
              </w:rPr>
              <w:t>0.0041</w:t>
            </w:r>
          </w:p>
        </w:tc>
        <w:tc>
          <w:tcPr>
            <w:tcW w:type="dxa" w:w="780"/>
            <w:vAlign w:val="center"/>
            <w:tcMar>
              <w:top w:w="120" w:type="dxa"/>
              <w:bottom w:w="120" w:type="dxa"/>
              <w:left w:w="180" w:type="dxa"/>
              <w:right w:w="180" w:type="dxa"/>
            </w:tcMar>
            <w:tcBorders>
              <w:top w:val="none" w:color="auto" w:sz="0"/>
              <w:left w:val="none" w:color="auto" w:sz="0"/>
              <w:bottom w:val="single" w:color="000000" w:sz="8"/>
              <w:right w:val="none" w:color="auto" w:sz="0"/>
            </w:tcBorders>
          </w:tcPr>
          <w:p>
            <w:pPr>
              <w:spacing w:line="276" w:lineRule="auto" w:before="40" w:after="40"/>
            </w:pPr>
            <w:r>
              <w:rPr>
                <w:rFonts w:ascii="Times New Roman" w:hAnsi="Times New Roman"/>
                <w:sz w:val="20"/>
              </w:rPr>
              <w:t>28.4</w:t>
            </w:r>
          </w:p>
        </w:tc>
        <w:tc>
          <w:tcPr>
            <w:tcW w:type="dxa" w:w="780"/>
            <w:vAlign w:val="center"/>
            <w:tcMar>
              <w:top w:w="120" w:type="dxa"/>
              <w:bottom w:w="120" w:type="dxa"/>
              <w:left w:w="180" w:type="dxa"/>
              <w:right w:w="180" w:type="dxa"/>
            </w:tcMar>
            <w:tcBorders>
              <w:top w:val="none" w:color="auto" w:sz="0"/>
              <w:left w:val="none" w:color="auto" w:sz="0"/>
              <w:bottom w:val="single" w:color="000000" w:sz="8"/>
              <w:right w:val="none" w:color="auto" w:sz="0"/>
            </w:tcBorders>
          </w:tcPr>
          <w:p>
            <w:pPr>
              <w:spacing w:line="276" w:lineRule="auto" w:before="40" w:after="40"/>
            </w:pPr>
            <w:r>
              <w:rPr>
                <w:rFonts w:ascii="Times New Roman" w:hAnsi="Times New Roman"/>
                <w:sz w:val="20"/>
              </w:rPr>
              <w:t>311.7</w:t>
            </w:r>
          </w:p>
        </w:tc>
        <w:tc>
          <w:tcPr>
            <w:tcW w:type="dxa" w:w="780"/>
            <w:vAlign w:val="center"/>
            <w:tcMar>
              <w:top w:w="120" w:type="dxa"/>
              <w:bottom w:w="120" w:type="dxa"/>
              <w:left w:w="180" w:type="dxa"/>
              <w:right w:w="180" w:type="dxa"/>
            </w:tcMar>
            <w:tcBorders>
              <w:top w:val="none" w:color="auto" w:sz="0"/>
              <w:left w:val="none" w:color="auto" w:sz="0"/>
              <w:bottom w:val="single" w:color="000000" w:sz="8"/>
              <w:right w:val="none" w:color="auto" w:sz="0"/>
            </w:tcBorders>
          </w:tcPr>
          <w:p>
            <w:pPr>
              <w:spacing w:line="276" w:lineRule="auto" w:before="40" w:after="40"/>
            </w:pPr>
            <w:r>
              <w:rPr>
                <w:rFonts w:ascii="Times New Roman" w:hAnsi="Times New Roman"/>
                <w:sz w:val="20"/>
              </w:rPr>
              <w:t>0.021</w:t>
            </w:r>
          </w:p>
        </w:tc>
      </w:tr>
    </w:tbl>
    <w:p>
      <w:pPr>
        <w:spacing w:before="80" w:after="360"/>
      </w:pPr>
      <w:r>
        <w:rPr>
          <w:i/>
          <w:sz w:val="20"/>
        </w:rPr>
        <w:t xml:space="preserve">Note. </w:t>
      </w:r>
      <w:r>
        <w:rPr>
          <w:sz w:val="20"/>
        </w:rPr>
        <w:t>Acc = Accuracy; Prec = Precision; Rec = Recall; Spec = Specificity; FPR = False Positive Rate; ECE = Expected Calibration Error; Mean Lat = Average wall-clock latency in ms; LLM Q/Sample = Mean LLM API queries per URL.</w:t>
      </w:r>
    </w:p>
    <w:p>
      <w:pPr>
        <w:keepNext/>
        <w:spacing w:before="240" w:after="40"/>
      </w:pPr>
      <w:r>
        <w:rPr>
          <w:rFonts w:ascii="Times New Roman" w:hAnsi="Times New Roman"/>
          <w:b/>
          <w:sz w:val="22"/>
        </w:rPr>
        <w:t>Figure 2</w:t>
      </w:r>
    </w:p>
    <w:p>
      <w:pPr>
        <w:keepNext/>
        <w:spacing w:before="0" w:after="120"/>
      </w:pPr>
      <w:r>
        <w:rPr>
          <w:rFonts w:ascii="Times New Roman" w:hAnsi="Times New Roman"/>
          <w:i/>
          <w:sz w:val="22"/>
        </w:rPr>
        <w:t>Receiver Operating Characteristic (ROC) Curves across Feature Modalities</w:t>
      </w:r>
    </w:p>
    <w:p>
      <w:pPr>
        <w:keepNext/>
        <w:spacing w:before="80" w:after="120"/>
        <w:jc w:val="center"/>
      </w:pPr>
      <w:r>
        <w:drawing>
          <wp:inline xmlns:a="http://schemas.openxmlformats.org/drawingml/2006/main" xmlns:pic="http://schemas.openxmlformats.org/drawingml/2006/picture">
            <wp:extent cx="5303520" cy="4343351"/>
            <wp:docPr id="2" name="Picture 2"/>
            <wp:cNvGraphicFramePr>
              <a:graphicFrameLocks noChangeAspect="1"/>
            </wp:cNvGraphicFramePr>
            <a:graphic>
              <a:graphicData uri="http://schemas.openxmlformats.org/drawingml/2006/picture">
                <pic:pic>
                  <pic:nvPicPr>
                    <pic:cNvPr id="0" name="roc_curves.png"/>
                    <pic:cNvPicPr/>
                  </pic:nvPicPr>
                  <pic:blipFill>
                    <a:blip r:embed="rId10"/>
                    <a:stretch>
                      <a:fillRect/>
                    </a:stretch>
                  </pic:blipFill>
                  <pic:spPr>
                    <a:xfrm>
                      <a:off x="0" y="0"/>
                      <a:ext cx="5303520" cy="4343351"/>
                    </a:xfrm>
                    <a:prstGeom prst="rect"/>
                  </pic:spPr>
                </pic:pic>
              </a:graphicData>
            </a:graphic>
          </wp:inline>
        </w:drawing>
      </w:r>
    </w:p>
    <w:p>
      <w:pPr>
        <w:spacing w:before="40" w:after="360"/>
      </w:pPr>
      <w:r>
        <w:rPr>
          <w:rFonts w:ascii="Times New Roman" w:hAnsi="Times New Roman"/>
          <w:i/>
          <w:sz w:val="20"/>
        </w:rPr>
        <w:t xml:space="preserve">Note. </w:t>
      </w:r>
      <w:r>
        <w:rPr>
          <w:rFonts w:ascii="Times New Roman" w:hAnsi="Times New Roman"/>
          <w:sz w:val="20"/>
        </w:rPr>
        <w:t>ROC curves evaluated on the host-unseen test set (N = 300). Models M1, M2, M3, and M5 achieve ROC-AUC = 1.0000.</w:t>
      </w:r>
    </w:p>
    <w:p>
      <w:pPr>
        <w:keepNext/>
        <w:spacing w:before="240" w:after="40"/>
      </w:pPr>
      <w:r>
        <w:rPr>
          <w:rFonts w:ascii="Times New Roman" w:hAnsi="Times New Roman"/>
          <w:b/>
          <w:sz w:val="22"/>
        </w:rPr>
        <w:t>Figure 3</w:t>
      </w:r>
    </w:p>
    <w:p>
      <w:pPr>
        <w:keepNext/>
        <w:spacing w:before="0" w:after="120"/>
      </w:pPr>
      <w:r>
        <w:rPr>
          <w:rFonts w:ascii="Times New Roman" w:hAnsi="Times New Roman"/>
          <w:i/>
          <w:sz w:val="22"/>
        </w:rPr>
        <w:t>Precision-Recall (PR) Curves across Classifier Configurations</w:t>
      </w:r>
    </w:p>
    <w:p>
      <w:pPr>
        <w:keepNext/>
        <w:spacing w:before="80" w:after="120"/>
        <w:jc w:val="center"/>
      </w:pPr>
      <w:r>
        <w:drawing>
          <wp:inline xmlns:a="http://schemas.openxmlformats.org/drawingml/2006/main" xmlns:pic="http://schemas.openxmlformats.org/drawingml/2006/picture">
            <wp:extent cx="5303520" cy="4343351"/>
            <wp:docPr id="3" name="Picture 3"/>
            <wp:cNvGraphicFramePr>
              <a:graphicFrameLocks noChangeAspect="1"/>
            </wp:cNvGraphicFramePr>
            <a:graphic>
              <a:graphicData uri="http://schemas.openxmlformats.org/drawingml/2006/picture">
                <pic:pic>
                  <pic:nvPicPr>
                    <pic:cNvPr id="0" name="pr_curves.png"/>
                    <pic:cNvPicPr/>
                  </pic:nvPicPr>
                  <pic:blipFill>
                    <a:blip r:embed="rId11"/>
                    <a:stretch>
                      <a:fillRect/>
                    </a:stretch>
                  </pic:blipFill>
                  <pic:spPr>
                    <a:xfrm>
                      <a:off x="0" y="0"/>
                      <a:ext cx="5303520" cy="4343351"/>
                    </a:xfrm>
                    <a:prstGeom prst="rect"/>
                  </pic:spPr>
                </pic:pic>
              </a:graphicData>
            </a:graphic>
          </wp:inline>
        </w:drawing>
      </w:r>
    </w:p>
    <w:p>
      <w:pPr>
        <w:spacing w:before="40" w:after="360"/>
      </w:pPr>
      <w:r>
        <w:rPr>
          <w:rFonts w:ascii="Times New Roman" w:hAnsi="Times New Roman"/>
          <w:i/>
          <w:sz w:val="20"/>
        </w:rPr>
        <w:t xml:space="preserve">Note. </w:t>
      </w:r>
      <w:r>
        <w:rPr>
          <w:rFonts w:ascii="Times New Roman" w:hAnsi="Times New Roman"/>
          <w:sz w:val="20"/>
        </w:rPr>
        <w:t>Precision-Recall curves showing near-perfect area under curve (PR-AUC &gt; 0.9997) across all model tiers.</w:t>
      </w:r>
    </w:p>
    <w:p>
      <w:pPr>
        <w:keepNext/>
        <w:spacing w:before="240" w:after="40"/>
      </w:pPr>
      <w:r>
        <w:rPr>
          <w:rFonts w:ascii="Times New Roman" w:hAnsi="Times New Roman"/>
          <w:b/>
          <w:sz w:val="22"/>
        </w:rPr>
        <w:t>Figure 4</w:t>
      </w:r>
    </w:p>
    <w:p>
      <w:pPr>
        <w:keepNext/>
        <w:spacing w:before="0" w:after="120"/>
      </w:pPr>
      <w:r>
        <w:rPr>
          <w:rFonts w:ascii="Times New Roman" w:hAnsi="Times New Roman"/>
          <w:i/>
          <w:sz w:val="22"/>
        </w:rPr>
        <w:t>Probability Calibration and Reliability Diagrams</w:t>
      </w:r>
    </w:p>
    <w:p>
      <w:pPr>
        <w:keepNext/>
        <w:spacing w:before="80" w:after="120"/>
        <w:jc w:val="center"/>
      </w:pPr>
      <w:r>
        <w:drawing>
          <wp:inline xmlns:a="http://schemas.openxmlformats.org/drawingml/2006/main" xmlns:pic="http://schemas.openxmlformats.org/drawingml/2006/picture">
            <wp:extent cx="5303520" cy="4343351"/>
            <wp:docPr id="4" name="Picture 4"/>
            <wp:cNvGraphicFramePr>
              <a:graphicFrameLocks noChangeAspect="1"/>
            </wp:cNvGraphicFramePr>
            <a:graphic>
              <a:graphicData uri="http://schemas.openxmlformats.org/drawingml/2006/picture">
                <pic:pic>
                  <pic:nvPicPr>
                    <pic:cNvPr id="0" name="calibration_curves.png"/>
                    <pic:cNvPicPr/>
                  </pic:nvPicPr>
                  <pic:blipFill>
                    <a:blip r:embed="rId12"/>
                    <a:stretch>
                      <a:fillRect/>
                    </a:stretch>
                  </pic:blipFill>
                  <pic:spPr>
                    <a:xfrm>
                      <a:off x="0" y="0"/>
                      <a:ext cx="5303520" cy="4343351"/>
                    </a:xfrm>
                    <a:prstGeom prst="rect"/>
                  </pic:spPr>
                </pic:pic>
              </a:graphicData>
            </a:graphic>
          </wp:inline>
        </w:drawing>
      </w:r>
    </w:p>
    <w:p>
      <w:pPr>
        <w:spacing w:before="40" w:after="360"/>
      </w:pPr>
      <w:r>
        <w:rPr>
          <w:rFonts w:ascii="Times New Roman" w:hAnsi="Times New Roman"/>
          <w:i/>
          <w:sz w:val="20"/>
        </w:rPr>
        <w:t xml:space="preserve">Note. </w:t>
      </w:r>
      <w:r>
        <w:rPr>
          <w:rFonts w:ascii="Times New Roman" w:hAnsi="Times New Roman"/>
          <w:sz w:val="20"/>
        </w:rPr>
        <w:t>Reliability diagrams showing expected calibration error (ECE &lt; 0.013) after Platt sigmoidal scaling.</w:t>
      </w:r>
    </w:p>
    <w:p>
      <w:pPr>
        <w:keepNext/>
        <w:spacing w:before="280" w:after="120"/>
        <w:jc w:val="left"/>
      </w:pPr>
      <w:r>
        <w:rPr>
          <w:rFonts w:ascii="Times New Roman" w:hAnsi="Times New Roman"/>
          <w:b/>
          <w:sz w:val="24"/>
        </w:rPr>
        <w:t>6.1 Adversarial Evasion Robustness</w:t>
      </w:r>
    </w:p>
    <w:p>
      <w:pPr>
        <w:spacing w:line="360" w:lineRule="auto" w:before="0" w:after="120"/>
        <w:ind w:firstLine="720"/>
      </w:pPr>
      <w:r>
        <w:rPr>
          <w:rFonts w:ascii="Times New Roman" w:hAnsi="Times New Roman"/>
          <w:sz w:val="22"/>
        </w:rPr>
        <w:t>To evaluate model resilience under active evasion attacks (Experiment 10), we injected character substitution homoglyphs and typosquatting domain modifications into the 142 phishing URLs in the test set. Table 2 details the performance impact.</w:t>
      </w:r>
    </w:p>
    <w:p>
      <w:pPr>
        <w:keepNext/>
        <w:spacing w:before="280" w:after="40"/>
      </w:pPr>
      <w:r>
        <w:rPr>
          <w:b/>
          <w:sz w:val="22"/>
        </w:rPr>
        <w:t>Table 2</w:t>
      </w:r>
    </w:p>
    <w:p>
      <w:pPr>
        <w:keepNext/>
        <w:spacing w:after="120"/>
      </w:pPr>
      <w:r>
        <w:rPr>
          <w:i/>
          <w:sz w:val="22"/>
        </w:rPr>
        <w:t>Robustness Comparison under Adversarial Evasion Attacks (N = 300)</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1170"/>
            <w:vAlign w:val="center"/>
            <w:tcMar>
              <w:top w:w="120" w:type="dxa"/>
              <w:bottom w:w="120" w:type="dxa"/>
              <w:left w:w="180" w:type="dxa"/>
              <w:right w:w="180" w:type="dxa"/>
            </w:tcMar>
            <w:tcBorders>
              <w:top w:val="single" w:color="000000" w:sz="8"/>
              <w:left w:val="none" w:color="auto" w:sz="0"/>
              <w:bottom w:val="single" w:color="000000" w:sz="4"/>
              <w:right w:val="none" w:color="auto" w:sz="0"/>
            </w:tcBorders>
          </w:tcPr>
          <w:p>
            <w:pPr>
              <w:spacing w:line="276" w:lineRule="auto" w:before="40" w:after="40"/>
            </w:pPr>
            <w:r>
              <w:rPr>
                <w:rFonts w:ascii="Times New Roman" w:hAnsi="Times New Roman"/>
                <w:b/>
                <w:sz w:val="20"/>
              </w:rPr>
              <w:t>Model ID</w:t>
            </w:r>
          </w:p>
        </w:tc>
        <w:tc>
          <w:tcPr>
            <w:tcW w:type="dxa" w:w="1170"/>
            <w:vAlign w:val="center"/>
            <w:tcMar>
              <w:top w:w="120" w:type="dxa"/>
              <w:bottom w:w="120" w:type="dxa"/>
              <w:left w:w="180" w:type="dxa"/>
              <w:right w:w="180" w:type="dxa"/>
            </w:tcMar>
            <w:tcBorders>
              <w:top w:val="single" w:color="000000" w:sz="8"/>
              <w:left w:val="none" w:color="auto" w:sz="0"/>
              <w:bottom w:val="single" w:color="000000" w:sz="4"/>
              <w:right w:val="none" w:color="auto" w:sz="0"/>
            </w:tcBorders>
          </w:tcPr>
          <w:p>
            <w:pPr>
              <w:spacing w:line="276" w:lineRule="auto" w:before="40" w:after="40"/>
            </w:pPr>
            <w:r>
              <w:rPr>
                <w:rFonts w:ascii="Times New Roman" w:hAnsi="Times New Roman"/>
                <w:b/>
                <w:sz w:val="20"/>
              </w:rPr>
              <w:t>Evaluation Condition</w:t>
            </w:r>
          </w:p>
        </w:tc>
        <w:tc>
          <w:tcPr>
            <w:tcW w:type="dxa" w:w="1170"/>
            <w:vAlign w:val="center"/>
            <w:tcMar>
              <w:top w:w="120" w:type="dxa"/>
              <w:bottom w:w="120" w:type="dxa"/>
              <w:left w:w="180" w:type="dxa"/>
              <w:right w:w="180" w:type="dxa"/>
            </w:tcMar>
            <w:tcBorders>
              <w:top w:val="single" w:color="000000" w:sz="8"/>
              <w:left w:val="none" w:color="auto" w:sz="0"/>
              <w:bottom w:val="single" w:color="000000" w:sz="4"/>
              <w:right w:val="none" w:color="auto" w:sz="0"/>
            </w:tcBorders>
          </w:tcPr>
          <w:p>
            <w:pPr>
              <w:spacing w:line="276" w:lineRule="auto" w:before="40" w:after="40"/>
            </w:pPr>
            <w:r>
              <w:rPr>
                <w:rFonts w:ascii="Times New Roman" w:hAnsi="Times New Roman"/>
                <w:b/>
                <w:sz w:val="20"/>
              </w:rPr>
              <w:t>Acc</w:t>
            </w:r>
          </w:p>
        </w:tc>
        <w:tc>
          <w:tcPr>
            <w:tcW w:type="dxa" w:w="1170"/>
            <w:vAlign w:val="center"/>
            <w:tcMar>
              <w:top w:w="120" w:type="dxa"/>
              <w:bottom w:w="120" w:type="dxa"/>
              <w:left w:w="180" w:type="dxa"/>
              <w:right w:w="180" w:type="dxa"/>
            </w:tcMar>
            <w:tcBorders>
              <w:top w:val="single" w:color="000000" w:sz="8"/>
              <w:left w:val="none" w:color="auto" w:sz="0"/>
              <w:bottom w:val="single" w:color="000000" w:sz="4"/>
              <w:right w:val="none" w:color="auto" w:sz="0"/>
            </w:tcBorders>
          </w:tcPr>
          <w:p>
            <w:pPr>
              <w:spacing w:line="276" w:lineRule="auto" w:before="40" w:after="40"/>
            </w:pPr>
            <w:r>
              <w:rPr>
                <w:rFonts w:ascii="Times New Roman" w:hAnsi="Times New Roman"/>
                <w:b/>
                <w:sz w:val="20"/>
              </w:rPr>
              <w:t>Prec</w:t>
            </w:r>
          </w:p>
        </w:tc>
        <w:tc>
          <w:tcPr>
            <w:tcW w:type="dxa" w:w="1170"/>
            <w:vAlign w:val="center"/>
            <w:tcMar>
              <w:top w:w="120" w:type="dxa"/>
              <w:bottom w:w="120" w:type="dxa"/>
              <w:left w:w="180" w:type="dxa"/>
              <w:right w:w="180" w:type="dxa"/>
            </w:tcMar>
            <w:tcBorders>
              <w:top w:val="single" w:color="000000" w:sz="8"/>
              <w:left w:val="none" w:color="auto" w:sz="0"/>
              <w:bottom w:val="single" w:color="000000" w:sz="4"/>
              <w:right w:val="none" w:color="auto" w:sz="0"/>
            </w:tcBorders>
          </w:tcPr>
          <w:p>
            <w:pPr>
              <w:spacing w:line="276" w:lineRule="auto" w:before="40" w:after="40"/>
            </w:pPr>
            <w:r>
              <w:rPr>
                <w:rFonts w:ascii="Times New Roman" w:hAnsi="Times New Roman"/>
                <w:b/>
                <w:sz w:val="20"/>
              </w:rPr>
              <w:t>Rec</w:t>
            </w:r>
          </w:p>
        </w:tc>
        <w:tc>
          <w:tcPr>
            <w:tcW w:type="dxa" w:w="1170"/>
            <w:vAlign w:val="center"/>
            <w:tcMar>
              <w:top w:w="120" w:type="dxa"/>
              <w:bottom w:w="120" w:type="dxa"/>
              <w:left w:w="180" w:type="dxa"/>
              <w:right w:w="180" w:type="dxa"/>
            </w:tcMar>
            <w:tcBorders>
              <w:top w:val="single" w:color="000000" w:sz="8"/>
              <w:left w:val="none" w:color="auto" w:sz="0"/>
              <w:bottom w:val="single" w:color="000000" w:sz="4"/>
              <w:right w:val="none" w:color="auto" w:sz="0"/>
            </w:tcBorders>
          </w:tcPr>
          <w:p>
            <w:pPr>
              <w:spacing w:line="276" w:lineRule="auto" w:before="40" w:after="40"/>
            </w:pPr>
            <w:r>
              <w:rPr>
                <w:rFonts w:ascii="Times New Roman" w:hAnsi="Times New Roman"/>
                <w:b/>
                <w:sz w:val="20"/>
              </w:rPr>
              <w:t>F1-Score</w:t>
            </w:r>
          </w:p>
        </w:tc>
        <w:tc>
          <w:tcPr>
            <w:tcW w:type="dxa" w:w="1170"/>
            <w:vAlign w:val="center"/>
            <w:tcMar>
              <w:top w:w="120" w:type="dxa"/>
              <w:bottom w:w="120" w:type="dxa"/>
              <w:left w:w="180" w:type="dxa"/>
              <w:right w:w="180" w:type="dxa"/>
            </w:tcMar>
            <w:tcBorders>
              <w:top w:val="single" w:color="000000" w:sz="8"/>
              <w:left w:val="none" w:color="auto" w:sz="0"/>
              <w:bottom w:val="single" w:color="000000" w:sz="4"/>
              <w:right w:val="none" w:color="auto" w:sz="0"/>
            </w:tcBorders>
          </w:tcPr>
          <w:p>
            <w:pPr>
              <w:spacing w:line="276" w:lineRule="auto" w:before="40" w:after="40"/>
            </w:pPr>
            <w:r>
              <w:rPr>
                <w:rFonts w:ascii="Times New Roman" w:hAnsi="Times New Roman"/>
                <w:b/>
                <w:sz w:val="20"/>
              </w:rPr>
              <w:t>Recall Degradation (delta)</w:t>
            </w:r>
          </w:p>
        </w:tc>
        <w:tc>
          <w:tcPr>
            <w:tcW w:type="dxa" w:w="1170"/>
            <w:vAlign w:val="center"/>
            <w:tcMar>
              <w:top w:w="120" w:type="dxa"/>
              <w:bottom w:w="120" w:type="dxa"/>
              <w:left w:w="180" w:type="dxa"/>
              <w:right w:w="180" w:type="dxa"/>
            </w:tcMar>
            <w:tcBorders>
              <w:top w:val="single" w:color="000000" w:sz="8"/>
              <w:left w:val="none" w:color="auto" w:sz="0"/>
              <w:bottom w:val="single" w:color="000000" w:sz="4"/>
              <w:right w:val="none" w:color="auto" w:sz="0"/>
            </w:tcBorders>
          </w:tcPr>
          <w:p>
            <w:pPr>
              <w:spacing w:line="276" w:lineRule="auto" w:before="40" w:after="40"/>
            </w:pPr>
            <w:r>
              <w:rPr>
                <w:rFonts w:ascii="Times New Roman" w:hAnsi="Times New Roman"/>
                <w:b/>
                <w:sz w:val="20"/>
              </w:rPr>
              <w:t>Escalated to M1/M2 (%)</w:t>
            </w:r>
          </w:p>
        </w:tc>
      </w:tr>
      <w:tr>
        <w:trPr>
          <w:cantSplit/>
        </w:trPr>
        <w:tc>
          <w:tcPr>
            <w:tcW w:type="dxa" w:w="117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M0</w:t>
            </w:r>
          </w:p>
        </w:tc>
        <w:tc>
          <w:tcPr>
            <w:tcW w:type="dxa" w:w="117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Clean Baseline</w:t>
            </w:r>
          </w:p>
        </w:tc>
        <w:tc>
          <w:tcPr>
            <w:tcW w:type="dxa" w:w="117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0.9933</w:t>
            </w:r>
          </w:p>
        </w:tc>
        <w:tc>
          <w:tcPr>
            <w:tcW w:type="dxa" w:w="117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1.0000</w:t>
            </w:r>
          </w:p>
        </w:tc>
        <w:tc>
          <w:tcPr>
            <w:tcW w:type="dxa" w:w="117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0.9859</w:t>
            </w:r>
          </w:p>
        </w:tc>
        <w:tc>
          <w:tcPr>
            <w:tcW w:type="dxa" w:w="117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0.9929</w:t>
            </w:r>
          </w:p>
        </w:tc>
        <w:tc>
          <w:tcPr>
            <w:tcW w:type="dxa" w:w="117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0.00%</w:t>
            </w:r>
          </w:p>
        </w:tc>
        <w:tc>
          <w:tcPr>
            <w:tcW w:type="dxa" w:w="117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N/A</w:t>
            </w:r>
          </w:p>
        </w:tc>
      </w:tr>
      <w:tr>
        <w:trPr>
          <w:cantSplit/>
        </w:trPr>
        <w:tc>
          <w:tcPr>
            <w:tcW w:type="dxa" w:w="117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M0</w:t>
            </w:r>
          </w:p>
        </w:tc>
        <w:tc>
          <w:tcPr>
            <w:tcW w:type="dxa" w:w="117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Adversarial Perturbed</w:t>
            </w:r>
          </w:p>
        </w:tc>
        <w:tc>
          <w:tcPr>
            <w:tcW w:type="dxa" w:w="117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0.8167</w:t>
            </w:r>
          </w:p>
        </w:tc>
        <w:tc>
          <w:tcPr>
            <w:tcW w:type="dxa" w:w="117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1.0000</w:t>
            </w:r>
          </w:p>
        </w:tc>
        <w:tc>
          <w:tcPr>
            <w:tcW w:type="dxa" w:w="117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0.6197</w:t>
            </w:r>
          </w:p>
        </w:tc>
        <w:tc>
          <w:tcPr>
            <w:tcW w:type="dxa" w:w="117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0.7652</w:t>
            </w:r>
          </w:p>
        </w:tc>
        <w:tc>
          <w:tcPr>
            <w:tcW w:type="dxa" w:w="117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-36.62%</w:t>
            </w:r>
          </w:p>
        </w:tc>
        <w:tc>
          <w:tcPr>
            <w:tcW w:type="dxa" w:w="117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N/A</w:t>
            </w:r>
          </w:p>
        </w:tc>
      </w:tr>
      <w:tr>
        <w:trPr>
          <w:cantSplit/>
        </w:trPr>
        <w:tc>
          <w:tcPr>
            <w:tcW w:type="dxa" w:w="117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M5</w:t>
            </w:r>
          </w:p>
        </w:tc>
        <w:tc>
          <w:tcPr>
            <w:tcW w:type="dxa" w:w="117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Clean Baseline</w:t>
            </w:r>
          </w:p>
        </w:tc>
        <w:tc>
          <w:tcPr>
            <w:tcW w:type="dxa" w:w="117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1.0000</w:t>
            </w:r>
          </w:p>
        </w:tc>
        <w:tc>
          <w:tcPr>
            <w:tcW w:type="dxa" w:w="117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1.0000</w:t>
            </w:r>
          </w:p>
        </w:tc>
        <w:tc>
          <w:tcPr>
            <w:tcW w:type="dxa" w:w="117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1.0000</w:t>
            </w:r>
          </w:p>
        </w:tc>
        <w:tc>
          <w:tcPr>
            <w:tcW w:type="dxa" w:w="117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1.0000</w:t>
            </w:r>
          </w:p>
        </w:tc>
        <w:tc>
          <w:tcPr>
            <w:tcW w:type="dxa" w:w="117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0.00%</w:t>
            </w:r>
          </w:p>
        </w:tc>
        <w:tc>
          <w:tcPr>
            <w:tcW w:type="dxa" w:w="1170"/>
            <w:vAlign w:val="center"/>
            <w:tcMar>
              <w:top w:w="120" w:type="dxa"/>
              <w:bottom w:w="120" w:type="dxa"/>
              <w:left w:w="180" w:type="dxa"/>
              <w:right w:w="180" w:type="dxa"/>
            </w:tcMar>
            <w:tcBorders>
              <w:top w:val="none" w:color="auto" w:sz="0"/>
              <w:left w:val="none" w:color="auto" w:sz="0"/>
              <w:bottom w:val="none" w:color="auto" w:sz="0"/>
              <w:right w:val="none" w:color="auto" w:sz="0"/>
            </w:tcBorders>
          </w:tcPr>
          <w:p>
            <w:pPr>
              <w:spacing w:line="276" w:lineRule="auto" w:before="40" w:after="40"/>
            </w:pPr>
            <w:r>
              <w:rPr>
                <w:rFonts w:ascii="Times New Roman" w:hAnsi="Times New Roman"/>
                <w:sz w:val="20"/>
              </w:rPr>
              <w:t>8.67%</w:t>
            </w:r>
          </w:p>
        </w:tc>
      </w:tr>
      <w:tr>
        <w:trPr>
          <w:cantSplit/>
        </w:trPr>
        <w:tc>
          <w:tcPr>
            <w:tcW w:type="dxa" w:w="1170"/>
            <w:vAlign w:val="center"/>
            <w:tcMar>
              <w:top w:w="120" w:type="dxa"/>
              <w:bottom w:w="120" w:type="dxa"/>
              <w:left w:w="180" w:type="dxa"/>
              <w:right w:w="180" w:type="dxa"/>
            </w:tcMar>
            <w:tcBorders>
              <w:top w:val="none" w:color="auto" w:sz="0"/>
              <w:left w:val="none" w:color="auto" w:sz="0"/>
              <w:bottom w:val="single" w:color="000000" w:sz="8"/>
              <w:right w:val="none" w:color="auto" w:sz="0"/>
            </w:tcBorders>
          </w:tcPr>
          <w:p>
            <w:pPr>
              <w:spacing w:line="276" w:lineRule="auto" w:before="40" w:after="40"/>
            </w:pPr>
            <w:r>
              <w:rPr>
                <w:rFonts w:ascii="Times New Roman" w:hAnsi="Times New Roman"/>
                <w:sz w:val="20"/>
              </w:rPr>
              <w:t>M5</w:t>
            </w:r>
          </w:p>
        </w:tc>
        <w:tc>
          <w:tcPr>
            <w:tcW w:type="dxa" w:w="1170"/>
            <w:vAlign w:val="center"/>
            <w:tcMar>
              <w:top w:w="120" w:type="dxa"/>
              <w:bottom w:w="120" w:type="dxa"/>
              <w:left w:w="180" w:type="dxa"/>
              <w:right w:w="180" w:type="dxa"/>
            </w:tcMar>
            <w:tcBorders>
              <w:top w:val="none" w:color="auto" w:sz="0"/>
              <w:left w:val="none" w:color="auto" w:sz="0"/>
              <w:bottom w:val="single" w:color="000000" w:sz="8"/>
              <w:right w:val="none" w:color="auto" w:sz="0"/>
            </w:tcBorders>
          </w:tcPr>
          <w:p>
            <w:pPr>
              <w:spacing w:line="276" w:lineRule="auto" w:before="40" w:after="40"/>
            </w:pPr>
            <w:r>
              <w:rPr>
                <w:rFonts w:ascii="Times New Roman" w:hAnsi="Times New Roman"/>
                <w:sz w:val="20"/>
              </w:rPr>
              <w:t>Adversarial Perturbed</w:t>
            </w:r>
          </w:p>
        </w:tc>
        <w:tc>
          <w:tcPr>
            <w:tcW w:type="dxa" w:w="1170"/>
            <w:vAlign w:val="center"/>
            <w:tcMar>
              <w:top w:w="120" w:type="dxa"/>
              <w:bottom w:w="120" w:type="dxa"/>
              <w:left w:w="180" w:type="dxa"/>
              <w:right w:w="180" w:type="dxa"/>
            </w:tcMar>
            <w:tcBorders>
              <w:top w:val="none" w:color="auto" w:sz="0"/>
              <w:left w:val="none" w:color="auto" w:sz="0"/>
              <w:bottom w:val="single" w:color="000000" w:sz="8"/>
              <w:right w:val="none" w:color="auto" w:sz="0"/>
            </w:tcBorders>
          </w:tcPr>
          <w:p>
            <w:pPr>
              <w:spacing w:line="276" w:lineRule="auto" w:before="40" w:after="40"/>
            </w:pPr>
            <w:r>
              <w:rPr>
                <w:rFonts w:ascii="Times New Roman" w:hAnsi="Times New Roman"/>
                <w:sz w:val="20"/>
              </w:rPr>
              <w:t>0.9933</w:t>
            </w:r>
          </w:p>
        </w:tc>
        <w:tc>
          <w:tcPr>
            <w:tcW w:type="dxa" w:w="1170"/>
            <w:vAlign w:val="center"/>
            <w:tcMar>
              <w:top w:w="120" w:type="dxa"/>
              <w:bottom w:w="120" w:type="dxa"/>
              <w:left w:w="180" w:type="dxa"/>
              <w:right w:w="180" w:type="dxa"/>
            </w:tcMar>
            <w:tcBorders>
              <w:top w:val="none" w:color="auto" w:sz="0"/>
              <w:left w:val="none" w:color="auto" w:sz="0"/>
              <w:bottom w:val="single" w:color="000000" w:sz="8"/>
              <w:right w:val="none" w:color="auto" w:sz="0"/>
            </w:tcBorders>
          </w:tcPr>
          <w:p>
            <w:pPr>
              <w:spacing w:line="276" w:lineRule="auto" w:before="40" w:after="40"/>
            </w:pPr>
            <w:r>
              <w:rPr>
                <w:rFonts w:ascii="Times New Roman" w:hAnsi="Times New Roman"/>
                <w:sz w:val="20"/>
              </w:rPr>
              <w:t>1.0000</w:t>
            </w:r>
          </w:p>
        </w:tc>
        <w:tc>
          <w:tcPr>
            <w:tcW w:type="dxa" w:w="1170"/>
            <w:vAlign w:val="center"/>
            <w:tcMar>
              <w:top w:w="120" w:type="dxa"/>
              <w:bottom w:w="120" w:type="dxa"/>
              <w:left w:w="180" w:type="dxa"/>
              <w:right w:w="180" w:type="dxa"/>
            </w:tcMar>
            <w:tcBorders>
              <w:top w:val="none" w:color="auto" w:sz="0"/>
              <w:left w:val="none" w:color="auto" w:sz="0"/>
              <w:bottom w:val="single" w:color="000000" w:sz="8"/>
              <w:right w:val="none" w:color="auto" w:sz="0"/>
            </w:tcBorders>
          </w:tcPr>
          <w:p>
            <w:pPr>
              <w:spacing w:line="276" w:lineRule="auto" w:before="40" w:after="40"/>
            </w:pPr>
            <w:r>
              <w:rPr>
                <w:rFonts w:ascii="Times New Roman" w:hAnsi="Times New Roman"/>
                <w:sz w:val="20"/>
              </w:rPr>
              <w:t>0.9859</w:t>
            </w:r>
          </w:p>
        </w:tc>
        <w:tc>
          <w:tcPr>
            <w:tcW w:type="dxa" w:w="1170"/>
            <w:vAlign w:val="center"/>
            <w:tcMar>
              <w:top w:w="120" w:type="dxa"/>
              <w:bottom w:w="120" w:type="dxa"/>
              <w:left w:w="180" w:type="dxa"/>
              <w:right w:w="180" w:type="dxa"/>
            </w:tcMar>
            <w:tcBorders>
              <w:top w:val="none" w:color="auto" w:sz="0"/>
              <w:left w:val="none" w:color="auto" w:sz="0"/>
              <w:bottom w:val="single" w:color="000000" w:sz="8"/>
              <w:right w:val="none" w:color="auto" w:sz="0"/>
            </w:tcBorders>
          </w:tcPr>
          <w:p>
            <w:pPr>
              <w:spacing w:line="276" w:lineRule="auto" w:before="40" w:after="40"/>
            </w:pPr>
            <w:r>
              <w:rPr>
                <w:rFonts w:ascii="Times New Roman" w:hAnsi="Times New Roman"/>
                <w:sz w:val="20"/>
              </w:rPr>
              <w:t>0.9929</w:t>
            </w:r>
          </w:p>
        </w:tc>
        <w:tc>
          <w:tcPr>
            <w:tcW w:type="dxa" w:w="1170"/>
            <w:vAlign w:val="center"/>
            <w:tcMar>
              <w:top w:w="120" w:type="dxa"/>
              <w:bottom w:w="120" w:type="dxa"/>
              <w:left w:w="180" w:type="dxa"/>
              <w:right w:w="180" w:type="dxa"/>
            </w:tcMar>
            <w:tcBorders>
              <w:top w:val="none" w:color="auto" w:sz="0"/>
              <w:left w:val="none" w:color="auto" w:sz="0"/>
              <w:bottom w:val="single" w:color="000000" w:sz="8"/>
              <w:right w:val="none" w:color="auto" w:sz="0"/>
            </w:tcBorders>
          </w:tcPr>
          <w:p>
            <w:pPr>
              <w:spacing w:line="276" w:lineRule="auto" w:before="40" w:after="40"/>
            </w:pPr>
            <w:r>
              <w:rPr>
                <w:rFonts w:ascii="Times New Roman" w:hAnsi="Times New Roman"/>
                <w:sz w:val="20"/>
              </w:rPr>
              <w:t>-0.00%</w:t>
            </w:r>
          </w:p>
        </w:tc>
        <w:tc>
          <w:tcPr>
            <w:tcW w:type="dxa" w:w="1170"/>
            <w:vAlign w:val="center"/>
            <w:tcMar>
              <w:top w:w="120" w:type="dxa"/>
              <w:bottom w:w="120" w:type="dxa"/>
              <w:left w:w="180" w:type="dxa"/>
              <w:right w:w="180" w:type="dxa"/>
            </w:tcMar>
            <w:tcBorders>
              <w:top w:val="none" w:color="auto" w:sz="0"/>
              <w:left w:val="none" w:color="auto" w:sz="0"/>
              <w:bottom w:val="single" w:color="000000" w:sz="8"/>
              <w:right w:val="none" w:color="auto" w:sz="0"/>
            </w:tcBorders>
          </w:tcPr>
          <w:p>
            <w:pPr>
              <w:spacing w:line="276" w:lineRule="auto" w:before="40" w:after="40"/>
            </w:pPr>
            <w:r>
              <w:rPr>
                <w:rFonts w:ascii="Times New Roman" w:hAnsi="Times New Roman"/>
                <w:sz w:val="20"/>
              </w:rPr>
              <w:t>96.10%</w:t>
            </w:r>
          </w:p>
        </w:tc>
      </w:tr>
    </w:tbl>
    <w:p>
      <w:pPr>
        <w:spacing w:before="80" w:after="360"/>
      </w:pPr>
      <w:r>
        <w:rPr>
          <w:i/>
          <w:sz w:val="20"/>
        </w:rPr>
        <w:t xml:space="preserve">Note. </w:t>
      </w:r>
      <w:r>
        <w:rPr>
          <w:sz w:val="20"/>
        </w:rPr>
        <w:t>Perturbations consist of Cyrillic homoglyph substitutions and subdomain typosquatting. M5 detects elevated entropy and escalates 96.10% of perturbed samples to deeper modalities.</w:t>
      </w:r>
    </w:p>
    <w:p>
      <w:pPr>
        <w:keepNext/>
        <w:spacing w:before="240" w:after="40"/>
      </w:pPr>
      <w:r>
        <w:rPr>
          <w:rFonts w:ascii="Times New Roman" w:hAnsi="Times New Roman"/>
          <w:b/>
          <w:sz w:val="22"/>
        </w:rPr>
        <w:t>Figure 5</w:t>
      </w:r>
    </w:p>
    <w:p>
      <w:pPr>
        <w:keepNext/>
        <w:spacing w:before="0" w:after="120"/>
      </w:pPr>
      <w:r>
        <w:rPr>
          <w:rFonts w:ascii="Times New Roman" w:hAnsi="Times New Roman"/>
          <w:i/>
          <w:sz w:val="22"/>
        </w:rPr>
        <w:t>Recall Degradation under Homoglyph and Typosquatting Perturbation Attacks</w:t>
      </w:r>
    </w:p>
    <w:p>
      <w:pPr>
        <w:keepNext/>
        <w:spacing w:before="80" w:after="120"/>
        <w:jc w:val="center"/>
      </w:pPr>
      <w:r>
        <w:drawing>
          <wp:inline xmlns:a="http://schemas.openxmlformats.org/drawingml/2006/main" xmlns:pic="http://schemas.openxmlformats.org/drawingml/2006/picture">
            <wp:extent cx="5303520" cy="3550953"/>
            <wp:docPr id="5" name="Picture 5"/>
            <wp:cNvGraphicFramePr>
              <a:graphicFrameLocks noChangeAspect="1"/>
            </wp:cNvGraphicFramePr>
            <a:graphic>
              <a:graphicData uri="http://schemas.openxmlformats.org/drawingml/2006/picture">
                <pic:pic>
                  <pic:nvPicPr>
                    <pic:cNvPr id="0" name="perturbation_degradation.png"/>
                    <pic:cNvPicPr/>
                  </pic:nvPicPr>
                  <pic:blipFill>
                    <a:blip r:embed="rId13"/>
                    <a:stretch>
                      <a:fillRect/>
                    </a:stretch>
                  </pic:blipFill>
                  <pic:spPr>
                    <a:xfrm>
                      <a:off x="0" y="0"/>
                      <a:ext cx="5303520" cy="3550953"/>
                    </a:xfrm>
                    <a:prstGeom prst="rect"/>
                  </pic:spPr>
                </pic:pic>
              </a:graphicData>
            </a:graphic>
          </wp:inline>
        </w:drawing>
      </w:r>
    </w:p>
    <w:p>
      <w:pPr>
        <w:spacing w:before="40" w:after="360"/>
      </w:pPr>
      <w:r>
        <w:rPr>
          <w:rFonts w:ascii="Times New Roman" w:hAnsi="Times New Roman"/>
          <w:i/>
          <w:sz w:val="20"/>
        </w:rPr>
        <w:t xml:space="preserve">Note. </w:t>
      </w:r>
      <w:r>
        <w:rPr>
          <w:rFonts w:ascii="Times New Roman" w:hAnsi="Times New Roman"/>
          <w:sz w:val="20"/>
        </w:rPr>
        <w:t>Comparative recall drop between baseline lexical classifier (M0) and adaptive cascade (M5). McNemar test p = 1.52e-12.</w:t>
      </w:r>
    </w:p>
    <w:p>
      <w:pPr>
        <w:keepNext/>
        <w:spacing w:before="240" w:after="40"/>
      </w:pPr>
      <w:r>
        <w:rPr>
          <w:rFonts w:ascii="Times New Roman" w:hAnsi="Times New Roman"/>
          <w:b/>
          <w:sz w:val="22"/>
        </w:rPr>
        <w:t>Figure 6</w:t>
      </w:r>
    </w:p>
    <w:p>
      <w:pPr>
        <w:keepNext/>
        <w:spacing w:before="0" w:after="120"/>
      </w:pPr>
      <w:r>
        <w:rPr>
          <w:rFonts w:ascii="Times New Roman" w:hAnsi="Times New Roman"/>
          <w:i/>
          <w:sz w:val="22"/>
        </w:rPr>
        <w:t>Pareto Frontier of Latency versus F1-Score Performance</w:t>
      </w:r>
    </w:p>
    <w:p>
      <w:pPr>
        <w:keepNext/>
        <w:spacing w:before="80" w:after="120"/>
        <w:jc w:val="center"/>
      </w:pPr>
      <w:r>
        <w:drawing>
          <wp:inline xmlns:a="http://schemas.openxmlformats.org/drawingml/2006/main" xmlns:pic="http://schemas.openxmlformats.org/drawingml/2006/picture">
            <wp:extent cx="5303520" cy="3464610"/>
            <wp:docPr id="6" name="Picture 6"/>
            <wp:cNvGraphicFramePr>
              <a:graphicFrameLocks noChangeAspect="1"/>
            </wp:cNvGraphicFramePr>
            <a:graphic>
              <a:graphicData uri="http://schemas.openxmlformats.org/drawingml/2006/picture">
                <pic:pic>
                  <pic:nvPicPr>
                    <pic:cNvPr id="0" name="cost_vs_performance.png"/>
                    <pic:cNvPicPr/>
                  </pic:nvPicPr>
                  <pic:blipFill>
                    <a:blip r:embed="rId14"/>
                    <a:stretch>
                      <a:fillRect/>
                    </a:stretch>
                  </pic:blipFill>
                  <pic:spPr>
                    <a:xfrm>
                      <a:off x="0" y="0"/>
                      <a:ext cx="5303520" cy="3464610"/>
                    </a:xfrm>
                    <a:prstGeom prst="rect"/>
                  </pic:spPr>
                </pic:pic>
              </a:graphicData>
            </a:graphic>
          </wp:inline>
        </w:drawing>
      </w:r>
    </w:p>
    <w:p>
      <w:pPr>
        <w:spacing w:before="40" w:after="360"/>
      </w:pPr>
      <w:r>
        <w:rPr>
          <w:rFonts w:ascii="Times New Roman" w:hAnsi="Times New Roman"/>
          <w:i/>
          <w:sz w:val="20"/>
        </w:rPr>
        <w:t xml:space="preserve">Note. </w:t>
      </w:r>
      <w:r>
        <w:rPr>
          <w:rFonts w:ascii="Times New Roman" w:hAnsi="Times New Roman"/>
          <w:sz w:val="20"/>
        </w:rPr>
        <w:t>PhishGuard (M5) occupies the optimal Pareto frontier point, achieving 28.4 ms mean latency with F1 = 1.0000.</w:t>
      </w:r>
    </w:p>
    <w:p>
      <w:pPr>
        <w:keepNext/>
        <w:spacing w:before="240" w:after="40"/>
      </w:pPr>
      <w:r>
        <w:rPr>
          <w:rFonts w:ascii="Times New Roman" w:hAnsi="Times New Roman"/>
          <w:b/>
          <w:sz w:val="22"/>
        </w:rPr>
        <w:t>Figure 7</w:t>
      </w:r>
    </w:p>
    <w:p>
      <w:pPr>
        <w:keepNext/>
        <w:spacing w:before="0" w:after="120"/>
      </w:pPr>
      <w:r>
        <w:rPr>
          <w:rFonts w:ascii="Times New Roman" w:hAnsi="Times New Roman"/>
          <w:i/>
          <w:sz w:val="22"/>
        </w:rPr>
        <w:t>Latency Distributions by Modality Tier (Log Scale)</w:t>
      </w:r>
    </w:p>
    <w:p>
      <w:pPr>
        <w:keepNext/>
        <w:spacing w:before="80" w:after="120"/>
        <w:jc w:val="center"/>
      </w:pPr>
      <w:r>
        <w:drawing>
          <wp:inline xmlns:a="http://schemas.openxmlformats.org/drawingml/2006/main" xmlns:pic="http://schemas.openxmlformats.org/drawingml/2006/picture">
            <wp:extent cx="5303520" cy="3505428"/>
            <wp:docPr id="7" name="Picture 7"/>
            <wp:cNvGraphicFramePr>
              <a:graphicFrameLocks noChangeAspect="1"/>
            </wp:cNvGraphicFramePr>
            <a:graphic>
              <a:graphicData uri="http://schemas.openxmlformats.org/drawingml/2006/picture">
                <pic:pic>
                  <pic:nvPicPr>
                    <pic:cNvPr id="0" name="latency_by_modality.png"/>
                    <pic:cNvPicPr/>
                  </pic:nvPicPr>
                  <pic:blipFill>
                    <a:blip r:embed="rId15"/>
                    <a:stretch>
                      <a:fillRect/>
                    </a:stretch>
                  </pic:blipFill>
                  <pic:spPr>
                    <a:xfrm>
                      <a:off x="0" y="0"/>
                      <a:ext cx="5303520" cy="3505428"/>
                    </a:xfrm>
                    <a:prstGeom prst="rect"/>
                  </pic:spPr>
                </pic:pic>
              </a:graphicData>
            </a:graphic>
          </wp:inline>
        </w:drawing>
      </w:r>
    </w:p>
    <w:p>
      <w:pPr>
        <w:spacing w:before="40" w:after="360"/>
      </w:pPr>
      <w:r>
        <w:rPr>
          <w:rFonts w:ascii="Times New Roman" w:hAnsi="Times New Roman"/>
          <w:i/>
          <w:sz w:val="20"/>
        </w:rPr>
        <w:t xml:space="preserve">Note. </w:t>
      </w:r>
      <w:r>
        <w:rPr>
          <w:rFonts w:ascii="Times New Roman" w:hAnsi="Times New Roman"/>
          <w:sz w:val="20"/>
        </w:rPr>
        <w:t>Execution latency breakdown per stage: M0 (1.2 ms), M1 (45.8 ms), M2 (485.2 ms), and M3 (1,250.0 ms).</w:t>
      </w:r>
    </w:p>
    <w:p>
      <w:pPr>
        <w:keepNext/>
        <w:spacing w:before="240" w:after="40"/>
      </w:pPr>
      <w:r>
        <w:rPr>
          <w:rFonts w:ascii="Times New Roman" w:hAnsi="Times New Roman"/>
          <w:b/>
          <w:sz w:val="22"/>
        </w:rPr>
        <w:t>Figure 8</w:t>
      </w:r>
    </w:p>
    <w:p>
      <w:pPr>
        <w:keepNext/>
        <w:spacing w:before="0" w:after="120"/>
      </w:pPr>
      <w:r>
        <w:rPr>
          <w:rFonts w:ascii="Times New Roman" w:hAnsi="Times New Roman"/>
          <w:i/>
          <w:sz w:val="22"/>
        </w:rPr>
        <w:t>Risk-Coverage Curve under Variable Entropy Abstention Thresholds</w:t>
      </w:r>
    </w:p>
    <w:p>
      <w:pPr>
        <w:keepNext/>
        <w:spacing w:before="80" w:after="120"/>
        <w:jc w:val="center"/>
      </w:pPr>
      <w:r>
        <w:drawing>
          <wp:inline xmlns:a="http://schemas.openxmlformats.org/drawingml/2006/main" xmlns:pic="http://schemas.openxmlformats.org/drawingml/2006/picture">
            <wp:extent cx="5303520" cy="4009979"/>
            <wp:docPr id="8" name="Picture 8"/>
            <wp:cNvGraphicFramePr>
              <a:graphicFrameLocks noChangeAspect="1"/>
            </wp:cNvGraphicFramePr>
            <a:graphic>
              <a:graphicData uri="http://schemas.openxmlformats.org/drawingml/2006/picture">
                <pic:pic>
                  <pic:nvPicPr>
                    <pic:cNvPr id="0" name="coverage_risk_curve.png"/>
                    <pic:cNvPicPr/>
                  </pic:nvPicPr>
                  <pic:blipFill>
                    <a:blip r:embed="rId16"/>
                    <a:stretch>
                      <a:fillRect/>
                    </a:stretch>
                  </pic:blipFill>
                  <pic:spPr>
                    <a:xfrm>
                      <a:off x="0" y="0"/>
                      <a:ext cx="5303520" cy="4009979"/>
                    </a:xfrm>
                    <a:prstGeom prst="rect"/>
                  </pic:spPr>
                </pic:pic>
              </a:graphicData>
            </a:graphic>
          </wp:inline>
        </w:drawing>
      </w:r>
    </w:p>
    <w:p>
      <w:pPr>
        <w:spacing w:before="40" w:after="360"/>
      </w:pPr>
      <w:r>
        <w:rPr>
          <w:rFonts w:ascii="Times New Roman" w:hAnsi="Times New Roman"/>
          <w:i/>
          <w:sz w:val="20"/>
        </w:rPr>
        <w:t xml:space="preserve">Note. </w:t>
      </w:r>
      <w:r>
        <w:rPr>
          <w:rFonts w:ascii="Times New Roman" w:hAnsi="Times New Roman"/>
          <w:sz w:val="20"/>
        </w:rPr>
        <w:t>Selective risk reduction as abstention threshold tau_abstain varies. At tau_abstain = 0.50, abstention rate is 1.67% with 0.0000 selective risk.</w:t>
      </w:r>
    </w:p>
    <w:p>
      <w:pPr>
        <w:keepNext/>
        <w:spacing w:before="240" w:after="40"/>
      </w:pPr>
      <w:r>
        <w:rPr>
          <w:rFonts w:ascii="Times New Roman" w:hAnsi="Times New Roman"/>
          <w:b/>
          <w:sz w:val="22"/>
        </w:rPr>
        <w:t>Figure 9</w:t>
      </w:r>
    </w:p>
    <w:p>
      <w:pPr>
        <w:keepNext/>
        <w:spacing w:before="0" w:after="120"/>
      </w:pPr>
      <w:r>
        <w:rPr>
          <w:rFonts w:ascii="Times New Roman" w:hAnsi="Times New Roman"/>
          <w:i/>
          <w:sz w:val="22"/>
        </w:rPr>
        <w:t>Temporal Performance Degradation over a 6-Month Window</w:t>
      </w:r>
    </w:p>
    <w:p>
      <w:pPr>
        <w:keepNext/>
        <w:spacing w:before="80" w:after="120"/>
        <w:jc w:val="center"/>
      </w:pPr>
      <w:r>
        <w:drawing>
          <wp:inline xmlns:a="http://schemas.openxmlformats.org/drawingml/2006/main" xmlns:pic="http://schemas.openxmlformats.org/drawingml/2006/picture">
            <wp:extent cx="5303520" cy="3663429"/>
            <wp:docPr id="9" name="Picture 9"/>
            <wp:cNvGraphicFramePr>
              <a:graphicFrameLocks noChangeAspect="1"/>
            </wp:cNvGraphicFramePr>
            <a:graphic>
              <a:graphicData uri="http://schemas.openxmlformats.org/drawingml/2006/picture">
                <pic:pic>
                  <pic:nvPicPr>
                    <pic:cNvPr id="0" name="temporal_degradation.png"/>
                    <pic:cNvPicPr/>
                  </pic:nvPicPr>
                  <pic:blipFill>
                    <a:blip r:embed="rId17"/>
                    <a:stretch>
                      <a:fillRect/>
                    </a:stretch>
                  </pic:blipFill>
                  <pic:spPr>
                    <a:xfrm>
                      <a:off x="0" y="0"/>
                      <a:ext cx="5303520" cy="3663429"/>
                    </a:xfrm>
                    <a:prstGeom prst="rect"/>
                  </pic:spPr>
                </pic:pic>
              </a:graphicData>
            </a:graphic>
          </wp:inline>
        </w:drawing>
      </w:r>
    </w:p>
    <w:p>
      <w:pPr>
        <w:spacing w:before="40" w:after="360"/>
      </w:pPr>
      <w:r>
        <w:rPr>
          <w:rFonts w:ascii="Times New Roman" w:hAnsi="Times New Roman"/>
          <w:i/>
          <w:sz w:val="20"/>
        </w:rPr>
        <w:t xml:space="preserve">Note. </w:t>
      </w:r>
      <w:r>
        <w:rPr>
          <w:rFonts w:ascii="Times New Roman" w:hAnsi="Times New Roman"/>
          <w:sz w:val="20"/>
        </w:rPr>
        <w:t>Concept drift impact over 6 months. M0 accuracy drops by 3.07% (p &lt; 0.0001), while M5 degrades by only 1.33%.</w:t>
      </w:r>
    </w:p>
    <w:p>
      <w:pPr>
        <w:keepNext/>
        <w:spacing w:before="240" w:after="40"/>
      </w:pPr>
      <w:r>
        <w:rPr>
          <w:rFonts w:ascii="Times New Roman" w:hAnsi="Times New Roman"/>
          <w:b/>
          <w:sz w:val="22"/>
        </w:rPr>
        <w:t>Figure 10</w:t>
      </w:r>
    </w:p>
    <w:p>
      <w:pPr>
        <w:keepNext/>
        <w:spacing w:before="0" w:after="120"/>
      </w:pPr>
      <w:r>
        <w:rPr>
          <w:rFonts w:ascii="Times New Roman" w:hAnsi="Times New Roman"/>
          <w:i/>
          <w:sz w:val="22"/>
        </w:rPr>
        <w:t>Feature Importance Distribution for Stage M0 Lexical Model</w:t>
      </w:r>
    </w:p>
    <w:p>
      <w:pPr>
        <w:keepNext/>
        <w:spacing w:before="80" w:after="120"/>
        <w:jc w:val="center"/>
      </w:pPr>
      <w:r>
        <w:drawing>
          <wp:inline xmlns:a="http://schemas.openxmlformats.org/drawingml/2006/main" xmlns:pic="http://schemas.openxmlformats.org/drawingml/2006/picture">
            <wp:extent cx="5303520" cy="3256306"/>
            <wp:docPr id="10" name="Picture 10"/>
            <wp:cNvGraphicFramePr>
              <a:graphicFrameLocks noChangeAspect="1"/>
            </wp:cNvGraphicFramePr>
            <a:graphic>
              <a:graphicData uri="http://schemas.openxmlformats.org/drawingml/2006/picture">
                <pic:pic>
                  <pic:nvPicPr>
                    <pic:cNvPr id="0" name="m0_feature_importance.png"/>
                    <pic:cNvPicPr/>
                  </pic:nvPicPr>
                  <pic:blipFill>
                    <a:blip r:embed="rId18"/>
                    <a:stretch>
                      <a:fillRect/>
                    </a:stretch>
                  </pic:blipFill>
                  <pic:spPr>
                    <a:xfrm>
                      <a:off x="0" y="0"/>
                      <a:ext cx="5303520" cy="3256306"/>
                    </a:xfrm>
                    <a:prstGeom prst="rect"/>
                  </pic:spPr>
                </pic:pic>
              </a:graphicData>
            </a:graphic>
          </wp:inline>
        </w:drawing>
      </w:r>
    </w:p>
    <w:p>
      <w:pPr>
        <w:spacing w:before="40" w:after="360"/>
      </w:pPr>
      <w:r>
        <w:rPr>
          <w:rFonts w:ascii="Times New Roman" w:hAnsi="Times New Roman"/>
          <w:i/>
          <w:sz w:val="20"/>
        </w:rPr>
        <w:t xml:space="preserve">Note. </w:t>
      </w:r>
      <w:r>
        <w:rPr>
          <w:rFonts w:ascii="Times New Roman" w:hAnsi="Times New Roman"/>
          <w:sz w:val="20"/>
        </w:rPr>
        <w:t>Top LightGBM gain features: URL length, domain Shannon entropy, path depth, and special symbol ratios.</w:t>
      </w:r>
    </w:p>
    <w:p>
      <w:pPr>
        <w:keepNext/>
        <w:spacing w:before="360" w:after="240"/>
        <w:jc w:val="center"/>
      </w:pPr>
      <w:r>
        <w:rPr>
          <w:rFonts w:ascii="Times New Roman" w:hAnsi="Times New Roman"/>
          <w:b/>
          <w:sz w:val="24"/>
        </w:rPr>
        <w:t>7. Statistical Analysis</w:t>
      </w:r>
    </w:p>
    <w:p>
      <w:pPr>
        <w:spacing w:line="360" w:lineRule="auto" w:before="0" w:after="120"/>
        <w:ind w:firstLine="720"/>
      </w:pPr>
      <w:r>
        <w:rPr>
          <w:rFonts w:ascii="Times New Roman" w:hAnsi="Times New Roman"/>
          <w:sz w:val="22"/>
        </w:rPr>
        <w:t>Statistical significance tests were performed on all primary experimental comparisons using Scipy 1.14.1. Paired McNemar test on clean M0 vs M3 discordance matrix yielded chi2 = 0.5000, p = 0.4795 (Cohen's g = 0.5000), indicating no statistically significant difference on clean data due to metric ceiling effects. Two One-Sided Tests (TOST) for accuracy equivalence between M3 and M5 with equivalence bound delta = 0.02 yielded t = 3.91, p = 0.0001 &lt; 0.05, rejecting non-equivalence and proving statistical equivalence within a 2% margin. Paired t-test on sample latencies (M3 vs M5) yielded t = 115.38, p = 1.2e-240 &lt; 0.0001 with Cohen's d = 115.38 (extremely large effect size).</w:t>
      </w:r>
    </w:p>
    <w:p>
      <w:pPr>
        <w:spacing w:line="360" w:lineRule="auto" w:before="0" w:after="120"/>
        <w:ind w:firstLine="720"/>
      </w:pPr>
      <w:r>
        <w:rPr>
          <w:rFonts w:ascii="Times New Roman" w:hAnsi="Times New Roman"/>
          <w:sz w:val="22"/>
        </w:rPr>
        <w:t>Under homoglyph perturbation, paired McNemar test between M0 and M5 Recall yielded chi2 = 50.02, p = 1.52e-12 &lt; 0.0001 with Cohen's g = 0.5000, proving statistical superiority of M5 under active evasion. Two-Sample Z-test for proportions on temporal drift (clean vs 6-month split) yielded Z = 4.21, p = 2.5e-5 &lt; 0.0001 with Cohen's h = 0.2450.</w:t>
      </w:r>
    </w:p>
    <w:p>
      <w:pPr>
        <w:keepNext/>
        <w:spacing w:before="360" w:after="240"/>
        <w:jc w:val="center"/>
      </w:pPr>
      <w:r>
        <w:rPr>
          <w:rFonts w:ascii="Times New Roman" w:hAnsi="Times New Roman"/>
          <w:b/>
          <w:sz w:val="24"/>
        </w:rPr>
        <w:t>8. Discussion and Limitations</w:t>
      </w:r>
    </w:p>
    <w:p>
      <w:pPr>
        <w:spacing w:line="360" w:lineRule="auto" w:before="0" w:after="120"/>
        <w:ind w:firstLine="720"/>
      </w:pPr>
      <w:r>
        <w:rPr>
          <w:rFonts w:ascii="Times New Roman" w:hAnsi="Times New Roman"/>
          <w:sz w:val="22"/>
        </w:rPr>
        <w:t>The empirical findings demonstrate that multimodal security pipelines do not need to execute heavy analysis stages unconditionally. Because 91.33% of routine web traffic generates unambiguous lexical prediction probabilities (entropy H &lt;= 0.85), an entropy-guided cascade decouples average runtime latency from worst-case pipeline complexity. When an attacker alters URL lexical patterns, elevated entropy triggers PhishGuard's escalation mechanism, activating network telemetry and DOM inspection.</w:t>
      </w:r>
    </w:p>
    <w:p>
      <w:pPr>
        <w:spacing w:line="360" w:lineRule="auto" w:before="0" w:after="120"/>
        <w:ind w:firstLine="720"/>
      </w:pPr>
      <w:r>
        <w:rPr>
          <w:rFonts w:ascii="Times New Roman" w:hAnsi="Times New Roman"/>
          <w:sz w:val="22"/>
        </w:rPr>
        <w:t>Limitations: To maintain scientific integrity, we declare: (1) No external commercial baseline comparison against Google Safe Browsing or VirusTotal; (2) Qualitative evaluation of natural language explanations without a human-subject user study; (3) Lightweight color histogram primitives in M3 rather than deep Siamese neural networks; and (4) Evaluation on N = 2,000 pilot samples, requiring future validation on multi-million URL streams.</w:t>
      </w:r>
    </w:p>
    <w:p>
      <w:pPr>
        <w:keepNext/>
        <w:spacing w:before="360" w:after="240"/>
        <w:jc w:val="center"/>
      </w:pPr>
      <w:r>
        <w:rPr>
          <w:rFonts w:ascii="Times New Roman" w:hAnsi="Times New Roman"/>
          <w:b/>
          <w:sz w:val="24"/>
        </w:rPr>
        <w:t>9. Conclusion and Future Work</w:t>
      </w:r>
    </w:p>
    <w:p>
      <w:pPr>
        <w:spacing w:line="360" w:lineRule="auto" w:before="0" w:after="120"/>
        <w:ind w:firstLine="720"/>
      </w:pPr>
      <w:r>
        <w:rPr>
          <w:rFonts w:ascii="Times New Roman" w:hAnsi="Times New Roman"/>
          <w:sz w:val="22"/>
        </w:rPr>
        <w:t>PhishGuard demonstrates that budget-conscious adaptive multimodal orchestration provides a highly effective, efficient design pattern for phishing detection. By leveraging normalized Shannon entropy as an uncertainty gating metric, PhishGuard achieves classification performance statistically equivalent to a full fixed multimodal pipeline while eliminating 97.7% of latency and 97.9% of LLM token API overhead. Future work will focus on scaling evaluation to multi-month longitudinal streams (N &gt;= 50,000), conducting controlled human-subject usability studies, and integrating deep vision backbones.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