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404040"/>
          <w:sz w:val="28"/>
          <w:szCs w:val="28"/>
        </w:rPr>
        <w:t xml:space="preserve">PIANO D'IMPRESA — OPENSELF</w:t>
      </w:r>
    </w:p>
    <w:p>
      <w:pPr>
        <w:pBdr>
          <w:bottom w:val="single" w:color="2E75B6" w:sz="12" w:space="4"/>
        </w:pBdr>
        <w:spacing w:after="40" w:before="0"/>
      </w:pPr>
      <w:r>
        <w:rPr>
          <w:rFonts w:ascii="Arial" w:cs="Arial" w:eastAsia="Arial" w:hAnsi="Arial"/>
          <w:color w:val="888888"/>
          <w:sz w:val="20"/>
          <w:szCs w:val="20"/>
        </w:rPr>
        <w:t xml:space="preserve">Domanda di Agevolazione Smart&amp;Start Italia — Invitalia</w:t>
      </w:r>
    </w:p>
    <w:p>
      <w:pPr>
        <w:spacing w:after="240" w:before="0"/>
      </w:pPr>
      <w: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2. Il Problema e l'Opportunità di Mercato</w:t>
      </w:r>
    </w:p>
    <w:p>
      <w:pPr>
        <w:spacing w:after="60" w:before="0"/>
      </w:pPr>
      <w:r>
        <w:t xml:space="preserve"/>
      </w:r>
    </w:p>
    <w:p>
      <w:pPr>
        <w:spacing w:after="100" w:before="60" w:line="276"/>
        <w:jc w:val="both"/>
      </w:pPr>
      <w:r>
        <w:rPr>
          <w:rFonts w:ascii="Arial" w:cs="Arial" w:eastAsia="Arial" w:hAnsi="Arial"/>
          <w:color w:val="404040"/>
          <w:sz w:val="22"/>
          <w:szCs w:val="22"/>
        </w:rPr>
        <w:t xml:space="preserve">Questo capitolo descrive il problema che OpenSelf risolve, il contesto di mercato in cui si inserisce, le dimensioni dell'opportunità, e i trend strutturali che rendono il momento attuale particolarmente favorevole per un ingresso nel segmento.</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2.1 Il Problema: la Presenza Online Personale è Rotta</w:t>
      </w:r>
    </w:p>
    <w:p>
      <w:pPr>
        <w:spacing w:after="60" w:before="0"/>
      </w:pPr>
      <w:r>
        <w:t xml:space="preserve"/>
      </w:r>
    </w:p>
    <w:p>
      <w:pPr>
        <w:spacing w:after="100" w:before="60" w:line="276"/>
        <w:jc w:val="both"/>
      </w:pPr>
      <w:r>
        <w:rPr>
          <w:rFonts w:ascii="Arial" w:cs="Arial" w:eastAsia="Arial" w:hAnsi="Arial"/>
          <w:color w:val="404040"/>
          <w:sz w:val="22"/>
          <w:szCs w:val="22"/>
        </w:rPr>
        <w:t xml:space="preserve">Chiunque voglia una presenza professionale online — un freelancer, un consulente, uno sviluppatore, un ricercatore, un manager in cerca di visibilità — si trova davanti a un problema irrisolto che le soluzioni attuali non hanno saputo affrontare. Il problema non è mancanza di strumenti: è che tutti gli strumenti esistenti richiedono troppo tempo, troppo sforzo continuo, e producono una rappresentazione statica destinata ad invecchiare nel momento stesso in cui viene pubblicata.</w:t>
      </w:r>
    </w:p>
    <w:p>
      <w:pPr>
        <w:spacing w:after="100" w:before="0"/>
      </w:pPr>
      <w:r>
        <w:t xml:space="preserve"/>
      </w:r>
    </w:p>
    <w:p>
      <w:pPr>
        <w:pStyle w:val="Heading3"/>
        <w:spacing w:after="80" w:before="200"/>
      </w:pPr>
      <w:r>
        <w:rPr>
          <w:rFonts w:ascii="Arial" w:cs="Arial" w:eastAsia="Arial" w:hAnsi="Arial"/>
          <w:b/>
          <w:bCs/>
          <w:color w:val="404040"/>
          <w:sz w:val="22"/>
          <w:szCs w:val="22"/>
        </w:rPr>
        <w:t xml:space="preserve">Il ciclo del fallimento silenzioso</w:t>
      </w:r>
    </w:p>
    <w:p>
      <w:pPr>
        <w:spacing w:after="100" w:before="60" w:line="276"/>
        <w:jc w:val="both"/>
      </w:pPr>
      <w:r>
        <w:rPr>
          <w:rFonts w:ascii="Arial" w:cs="Arial" w:eastAsia="Arial" w:hAnsi="Arial"/>
          <w:color w:val="404040"/>
          <w:sz w:val="22"/>
          <w:szCs w:val="22"/>
        </w:rPr>
        <w:t xml:space="preserve">Il professionista crea una pagina personale. Impiega ore o giorni a compilarla. La pubblica, si sente soddisfatto. Poi la vita va avanti: cambia ruolo, avvia un progetto, acquisisce nuove competenze, ottiene un riconoscimento. La pagina rimane ferma. Dopo sei mesi è parzialmente obsoleta. Dopo un anno, chi la visita vede una versione passata del professionista, non quella presente. Aggiornare richiede di ricordarsi che esiste, trovare le credenziali, sapere cosa cambiare, e dedicare del tempo — tutti ostacoli che, sommati, producono un tasso di abbandono altissimo.</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1"/>
              <w:left w:val="single" w:color="CCCCCC" w:sz="1"/>
              <w:bottom w:val="single" w:color="CCCCCC" w:sz="1"/>
              <w:right w:val="single" w:color="CCCCCC" w:sz="1"/>
            </w:tcBorders>
            <w:shd w:fill="D6E4F0" w:val="clear"/>
            <w:tcMar>
              <w:top w:type="dxa" w:w="160"/>
              <w:left w:type="dxa" w:w="120"/>
              <w:bottom w:type="dxa" w:w="160"/>
              <w:right w:type="dxa" w:w="120"/>
            </w:tcMar>
          </w:tcPr>
          <w:p>
            <w:pPr>
              <w:spacing w:after="40" w:before="0"/>
              <w:jc w:val="center"/>
            </w:pPr>
            <w:r>
              <w:rPr>
                <w:rFonts w:ascii="Arial" w:cs="Arial" w:eastAsia="Arial" w:hAnsi="Arial"/>
                <w:b/>
                <w:bCs/>
                <w:color w:val="1F4E79"/>
                <w:sz w:val="36"/>
                <w:szCs w:val="36"/>
              </w:rPr>
              <w:t xml:space="preserve">54%</w:t>
            </w:r>
          </w:p>
          <w:p>
            <w:pPr>
              <w:spacing w:after="20" w:before="0"/>
              <w:jc w:val="center"/>
            </w:pPr>
            <w:r>
              <w:rPr>
                <w:rFonts w:ascii="Arial" w:cs="Arial" w:eastAsia="Arial" w:hAnsi="Arial"/>
                <w:b/>
                <w:bCs/>
                <w:color w:val="2E75B6"/>
                <w:sz w:val="18"/>
                <w:szCs w:val="18"/>
              </w:rPr>
              <w:t xml:space="preserve">Candidati rifiutati</w:t>
            </w:r>
          </w:p>
          <w:p>
            <w:pPr>
              <w:spacing w:after="0" w:before="0"/>
              <w:jc w:val="center"/>
            </w:pPr>
            <w:r>
              <w:rPr>
                <w:rFonts w:ascii="Arial" w:cs="Arial" w:eastAsia="Arial" w:hAnsi="Arial"/>
                <w:i/>
                <w:iCs/>
                <w:color w:val="888888"/>
                <w:sz w:val="16"/>
                <w:szCs w:val="16"/>
              </w:rPr>
              <w:t xml:space="preserve">per scarsa presenza online (dati employer)</w:t>
            </w:r>
          </w:p>
        </w:tc>
        <w:tc>
          <w:tcPr>
            <w:tcW w:type="dxa" w:w="3008"/>
            <w:tcBorders>
              <w:top w:val="single" w:color="CCCCCC" w:sz="1"/>
              <w:left w:val="single" w:color="CCCCCC" w:sz="1"/>
              <w:bottom w:val="single" w:color="CCCCCC" w:sz="1"/>
              <w:right w:val="single" w:color="CCCCCC" w:sz="1"/>
            </w:tcBorders>
            <w:shd w:fill="EAF2F8" w:val="clear"/>
            <w:tcMar>
              <w:top w:type="dxa" w:w="160"/>
              <w:left w:type="dxa" w:w="120"/>
              <w:bottom w:type="dxa" w:w="160"/>
              <w:right w:type="dxa" w:w="120"/>
            </w:tcMar>
          </w:tcPr>
          <w:p>
            <w:pPr>
              <w:spacing w:after="40" w:before="0"/>
              <w:jc w:val="center"/>
            </w:pPr>
            <w:r>
              <w:rPr>
                <w:rFonts w:ascii="Arial" w:cs="Arial" w:eastAsia="Arial" w:hAnsi="Arial"/>
                <w:b/>
                <w:bCs/>
                <w:color w:val="1F4E79"/>
                <w:sz w:val="36"/>
                <w:szCs w:val="36"/>
              </w:rPr>
              <w:t xml:space="preserve">44%</w:t>
            </w:r>
          </w:p>
          <w:p>
            <w:pPr>
              <w:spacing w:after="20" w:before="0"/>
              <w:jc w:val="center"/>
            </w:pPr>
            <w:r>
              <w:rPr>
                <w:rFonts w:ascii="Arial" w:cs="Arial" w:eastAsia="Arial" w:hAnsi="Arial"/>
                <w:b/>
                <w:bCs/>
                <w:color w:val="2E75B6"/>
                <w:sz w:val="18"/>
                <w:szCs w:val="18"/>
              </w:rPr>
              <w:t xml:space="preserve">Candidati assunti</w:t>
            </w:r>
          </w:p>
          <w:p>
            <w:pPr>
              <w:spacing w:after="0" w:before="0"/>
              <w:jc w:val="center"/>
            </w:pPr>
            <w:r>
              <w:rPr>
                <w:rFonts w:ascii="Arial" w:cs="Arial" w:eastAsia="Arial" w:hAnsi="Arial"/>
                <w:i/>
                <w:iCs/>
                <w:color w:val="888888"/>
                <w:sz w:val="16"/>
                <w:szCs w:val="16"/>
              </w:rPr>
              <w:t xml:space="preserve">grazie al personal branding digitale</w:t>
            </w:r>
          </w:p>
        </w:tc>
        <w:tc>
          <w:tcPr>
            <w:tcW w:type="dxa" w:w="3010"/>
            <w:tcBorders>
              <w:top w:val="single" w:color="CCCCCC" w:sz="1"/>
              <w:left w:val="single" w:color="CCCCCC" w:sz="1"/>
              <w:bottom w:val="single" w:color="CCCCCC" w:sz="1"/>
              <w:right w:val="single" w:color="CCCCCC" w:sz="1"/>
            </w:tcBorders>
            <w:shd w:fill="D6E4F0" w:val="clear"/>
            <w:tcMar>
              <w:top w:type="dxa" w:w="160"/>
              <w:left w:type="dxa" w:w="120"/>
              <w:bottom w:type="dxa" w:w="160"/>
              <w:right w:type="dxa" w:w="120"/>
            </w:tcMar>
          </w:tcPr>
          <w:p>
            <w:pPr>
              <w:spacing w:after="40" w:before="0"/>
              <w:jc w:val="center"/>
            </w:pPr>
            <w:r>
              <w:rPr>
                <w:rFonts w:ascii="Arial" w:cs="Arial" w:eastAsia="Arial" w:hAnsi="Arial"/>
                <w:b/>
                <w:bCs/>
                <w:color w:val="1F4E79"/>
                <w:sz w:val="36"/>
                <w:szCs w:val="36"/>
              </w:rPr>
              <w:t xml:space="preserve">78%</w:t>
            </w:r>
          </w:p>
          <w:p>
            <w:pPr>
              <w:spacing w:after="20" w:before="0"/>
              <w:jc w:val="center"/>
            </w:pPr>
            <w:r>
              <w:rPr>
                <w:rFonts w:ascii="Arial" w:cs="Arial" w:eastAsia="Arial" w:hAnsi="Arial"/>
                <w:b/>
                <w:bCs/>
                <w:color w:val="2E75B6"/>
                <w:sz w:val="18"/>
                <w:szCs w:val="18"/>
              </w:rPr>
              <w:t xml:space="preserve">Recruiter</w:t>
            </w:r>
          </w:p>
          <w:p>
            <w:pPr>
              <w:spacing w:after="0" w:before="0"/>
              <w:jc w:val="center"/>
            </w:pPr>
            <w:r>
              <w:rPr>
                <w:rFonts w:ascii="Arial" w:cs="Arial" w:eastAsia="Arial" w:hAnsi="Arial"/>
                <w:i/>
                <w:iCs/>
                <w:color w:val="888888"/>
                <w:sz w:val="16"/>
                <w:szCs w:val="16"/>
              </w:rPr>
              <w:t xml:space="preserve">usano social media per trovare candidati</w:t>
            </w:r>
          </w:p>
        </w:tc>
      </w:tr>
    </w:tbl>
    <w:p>
      <w:pPr>
        <w:spacing w:after="60" w:before="0"/>
      </w:pPr>
      <w:r>
        <w:t xml:space="preserve"/>
      </w:r>
    </w:p>
    <w:p>
      <w:pPr>
        <w:spacing w:after="100" w:before="0"/>
      </w:pPr>
      <w:r>
        <w:rPr>
          <w:rFonts w:ascii="Arial" w:cs="Arial" w:eastAsia="Arial" w:hAnsi="Arial"/>
          <w:i/>
          <w:iCs/>
          <w:color w:val="888888"/>
          <w:sz w:val="16"/>
          <w:szCs w:val="16"/>
        </w:rPr>
        <w:t xml:space="preserve">Fonti: Capital One Shopping Research; 2024 Edelman-LinkedIn B2B Thought Leadership Impact Report</w:t>
      </w:r>
    </w:p>
    <w:p>
      <w:pPr>
        <w:spacing w:after="120" w:before="0"/>
      </w:pPr>
      <w:r>
        <w:t xml:space="preserve"/>
      </w:r>
    </w:p>
    <w:p>
      <w:pPr>
        <w:spacing w:after="100" w:before="60" w:line="276"/>
        <w:jc w:val="both"/>
      </w:pPr>
      <w:r>
        <w:rPr>
          <w:rFonts w:ascii="Arial" w:cs="Arial" w:eastAsia="Arial" w:hAnsi="Arial"/>
          <w:color w:val="404040"/>
          <w:sz w:val="22"/>
          <w:szCs w:val="22"/>
        </w:rPr>
        <w:t xml:space="preserve">Questi dati indicano che la presenza online personale ha smesso di essere facoltativa: è diventata un asset professionale con impatto diretto e misurabile su carriera, opportunità di business e credibilità percepita. Tuttavia, il mercato non ha ancora prodotto uno strumento che la renda sostenibile nel tempo senza uno sforzo continuo da parte dell'utente.</w:t>
      </w:r>
    </w:p>
    <w:p>
      <w:pPr>
        <w:spacing w:after="100" w:before="0"/>
      </w:pPr>
      <w:r>
        <w:t xml:space="preserve"/>
      </w:r>
    </w:p>
    <w:p>
      <w:pPr>
        <w:pStyle w:val="Heading3"/>
        <w:spacing w:after="80" w:before="200"/>
      </w:pPr>
      <w:r>
        <w:rPr>
          <w:rFonts w:ascii="Arial" w:cs="Arial" w:eastAsia="Arial" w:hAnsi="Arial"/>
          <w:b/>
          <w:bCs/>
          <w:color w:val="404040"/>
          <w:sz w:val="22"/>
          <w:szCs w:val="22"/>
        </w:rPr>
        <w:t xml:space="preserve">Tre fallimenti strutturali delle soluzioni attuali</w:t>
      </w:r>
    </w:p>
    <w:p>
      <w:pPr>
        <w:spacing w:after="60" w:before="0"/>
      </w:pPr>
      <w:r>
        <w:t xml:space="preserve"/>
      </w:r>
    </w:p>
    <w:p>
      <w:pPr>
        <w:pStyle w:val="ListParagraph"/>
        <w:numPr>
          <w:ilvl w:val="0"/>
          <w:numId w:val="2"/>
        </w:numPr>
        <w:spacing w:after="40" w:before="40" w:line="260"/>
      </w:pPr>
      <w:r>
        <w:rPr>
          <w:rFonts w:ascii="Arial" w:cs="Arial" w:eastAsia="Arial" w:hAnsi="Arial"/>
          <w:b/>
          <w:bCs/>
          <w:color w:val="404040"/>
          <w:sz w:val="22"/>
          <w:szCs w:val="22"/>
        </w:rPr>
        <w:t xml:space="preserve">1. Staticità — </w:t>
      </w:r>
      <w:r>
        <w:rPr>
          <w:rFonts w:ascii="Arial" w:cs="Arial" w:eastAsia="Arial" w:hAnsi="Arial"/>
          <w:color w:val="404040"/>
          <w:sz w:val="22"/>
          <w:szCs w:val="22"/>
        </w:rPr>
        <w:t xml:space="preserve">Richiedono aggiornamento manuale continuo: Wix, Squarespace, Carrd, About.me, persino LinkedIn — tutte le soluzioni esistenti sono passive. Non si aggiornano da sole. La pagina è uno snapshot nel tempo, non una rappresentazione viva del professionista. L'utente deve ricordare di aggiornarla, trovare il tempo di farlo, e sapere cosa cambiare.</w:t>
      </w:r>
    </w:p>
    <w:p>
      <w:pPr>
        <w:pStyle w:val="ListParagraph"/>
        <w:numPr>
          <w:ilvl w:val="0"/>
          <w:numId w:val="2"/>
        </w:numPr>
        <w:spacing w:after="40" w:before="40" w:line="260"/>
      </w:pPr>
      <w:r>
        <w:rPr>
          <w:rFonts w:ascii="Arial" w:cs="Arial" w:eastAsia="Arial" w:hAnsi="Arial"/>
          <w:b/>
          <w:bCs/>
          <w:color w:val="404040"/>
          <w:sz w:val="22"/>
          <w:szCs w:val="22"/>
        </w:rPr>
        <w:t xml:space="preserve">2. Anonimità — </w:t>
      </w:r>
      <w:r>
        <w:rPr>
          <w:rFonts w:ascii="Arial" w:cs="Arial" w:eastAsia="Arial" w:hAnsi="Arial"/>
          <w:color w:val="404040"/>
          <w:sz w:val="22"/>
          <w:szCs w:val="22"/>
        </w:rPr>
        <w:t xml:space="preserve">Non conoscono l'utente: nessuna soluzione attuale costruisce una comprensione profonda e persistente dell'identità, dei valori, dello stile comunicativo del professionista. Il risultato è una pagina generica, intercambiabile, che non distingue chi è Tommaso Rossi da chi è qualsiasi altro consulente IT.</w:t>
      </w:r>
    </w:p>
    <w:p>
      <w:pPr>
        <w:pStyle w:val="ListParagraph"/>
        <w:numPr>
          <w:ilvl w:val="0"/>
          <w:numId w:val="2"/>
        </w:numPr>
        <w:spacing w:after="40" w:before="40" w:line="260"/>
      </w:pPr>
      <w:r>
        <w:rPr>
          <w:rFonts w:ascii="Arial" w:cs="Arial" w:eastAsia="Arial" w:hAnsi="Arial"/>
          <w:b/>
          <w:bCs/>
          <w:color w:val="404040"/>
          <w:sz w:val="22"/>
          <w:szCs w:val="22"/>
        </w:rPr>
        <w:t xml:space="preserve">3. Frammentazione — </w:t>
      </w:r>
      <w:r>
        <w:rPr>
          <w:rFonts w:ascii="Arial" w:cs="Arial" w:eastAsia="Arial" w:hAnsi="Arial"/>
          <w:color w:val="404040"/>
          <w:sz w:val="22"/>
          <w:szCs w:val="22"/>
        </w:rPr>
        <w:t xml:space="preserve">Frammentano l'identità: il professionista ha dati su GitHub, attività su Strava, pubblicazioni su Google Scholar, articoli su un blog RSS. Nessuno strumento attuale integra queste fonti in un'unica rappresentazione coerente, aggiornata automaticamente.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6"/>
              <w:left w:val="single" w:color="2E75B6" w:sz="12"/>
              <w:bottom w:val="single" w:color="CCCCCC" w:sz="1"/>
              <w:right w:val="single" w:color="CCCCCC" w:sz="1"/>
            </w:tcBorders>
            <w:shd w:fill="D6E4F0" w:val="clear"/>
            <w:tcMar>
              <w:top w:type="dxa" w:w="120"/>
              <w:left w:type="dxa" w:w="200"/>
              <w:bottom w:type="dxa" w:w="120"/>
              <w:right w:type="dxa" w:w="160"/>
            </w:tcMar>
          </w:tcPr>
          <w:p>
            <w:pPr>
              <w:spacing w:after="60" w:before="0"/>
            </w:pPr>
            <w:r>
              <w:rPr>
                <w:rFonts w:ascii="Arial" w:cs="Arial" w:eastAsia="Arial" w:hAnsi="Arial"/>
                <w:b/>
                <w:bCs/>
                <w:color w:val="2E75B6"/>
                <w:sz w:val="20"/>
                <w:szCs w:val="20"/>
              </w:rPr>
              <w:t xml:space="preserve">Il problema in una frase</w:t>
            </w:r>
          </w:p>
          <w:p>
            <w:pPr>
              <w:spacing w:after="0" w:before="0"/>
              <w:jc w:val="both"/>
            </w:pPr>
            <w:r>
              <w:rPr>
                <w:rFonts w:ascii="Arial" w:cs="Arial" w:eastAsia="Arial" w:hAnsi="Arial"/>
                <w:color w:val="404040"/>
                <w:sz w:val="22"/>
                <w:szCs w:val="22"/>
              </w:rPr>
              <w:t xml:space="preserve">La presenza professionale online di un individuo dovrebbe essere viva come lui — ma tutti gli strumenti oggi disponibili la trattano come un documento da compilare. OpenSelf la tratta come una conversazione continua.</w:t>
            </w:r>
          </w:p>
        </w:tc>
      </w:tr>
    </w:tbl>
    <w:p>
      <w:pPr>
        <w:spacing w:after="160" w:before="0"/>
      </w:pPr>
      <w:r>
        <w:t xml:space="preserve"/>
      </w:r>
    </w:p>
    <w:p>
      <w:pPr>
        <w:pStyle w:val="Heading2"/>
        <w:spacing w:after="120" w:before="300"/>
      </w:pPr>
      <w:r>
        <w:rPr>
          <w:rFonts w:ascii="Arial" w:cs="Arial" w:eastAsia="Arial" w:hAnsi="Arial"/>
          <w:b/>
          <w:bCs/>
          <w:color w:val="2E75B6"/>
          <w:sz w:val="26"/>
          <w:szCs w:val="26"/>
        </w:rPr>
        <w:t xml:space="preserve">2.2 Il Mercato di Riferimento</w:t>
      </w:r>
    </w:p>
    <w:p>
      <w:pPr>
        <w:spacing w:after="60" w:before="0"/>
      </w:pPr>
      <w:r>
        <w:t xml:space="preserve"/>
      </w:r>
    </w:p>
    <w:p>
      <w:pPr>
        <w:spacing w:after="100" w:before="60" w:line="276"/>
        <w:jc w:val="both"/>
      </w:pPr>
      <w:r>
        <w:rPr>
          <w:rFonts w:ascii="Arial" w:cs="Arial" w:eastAsia="Arial" w:hAnsi="Arial"/>
          <w:color w:val="404040"/>
          <w:sz w:val="22"/>
          <w:szCs w:val="22"/>
        </w:rPr>
        <w:t xml:space="preserve">OpenSelf opera all'intersezione di due mercati in forte crescita: il mercato degli strumenti per la creazione di siti web personali e il mercato del personal branding digitale. Il mercato target è definito come: chiunque voglia una presenza online personale professionale, con particolare attenzione alla componente europea nella fase di lancio.</w:t>
      </w:r>
    </w:p>
    <w:p>
      <w:pPr>
        <w:spacing w:after="120" w:before="0"/>
      </w:pPr>
      <w:r>
        <w:t xml:space="preserve"/>
      </w:r>
    </w:p>
    <w:p>
      <w:pPr>
        <w:pStyle w:val="Heading3"/>
        <w:spacing w:after="80" w:before="200"/>
      </w:pPr>
      <w:r>
        <w:rPr>
          <w:rFonts w:ascii="Arial" w:cs="Arial" w:eastAsia="Arial" w:hAnsi="Arial"/>
          <w:b/>
          <w:bCs/>
          <w:color w:val="404040"/>
          <w:sz w:val="22"/>
          <w:szCs w:val="22"/>
        </w:rPr>
        <w:t xml:space="preserve">Il mercato degli strumenti per la presenza online personale (website builders)</w:t>
      </w:r>
    </w:p>
    <w:p>
      <w:pPr>
        <w:spacing w:after="100" w:before="60" w:line="276"/>
        <w:jc w:val="both"/>
      </w:pPr>
      <w:r>
        <w:rPr>
          <w:rFonts w:ascii="Arial" w:cs="Arial" w:eastAsia="Arial" w:hAnsi="Arial"/>
          <w:color w:val="404040"/>
          <w:sz w:val="22"/>
          <w:szCs w:val="22"/>
        </w:rPr>
        <w:t xml:space="preserve">Il mercato globale dei website builder nel 2026 è stimato tra 3,5 e 5,4 miliardi di dollari, con proiezioni di crescita annua comprese tra il 10% e il 16,5% fino al 2031-2032. La componente europea del mercato rappresenta il 27% del totale globale, per un valore stimato di circa 950 milioni — 1,4 miliardi di euro nel 2026.</w:t>
      </w:r>
    </w:p>
    <w:p>
      <w:pPr>
        <w:spacing w:after="80" w:before="0"/>
      </w:pPr>
      <w:r>
        <w:t xml:space="preserve"/>
      </w:r>
    </w:p>
    <w:p>
      <w:pPr>
        <w:spacing w:after="100" w:before="60" w:line="276"/>
        <w:jc w:val="both"/>
      </w:pPr>
      <w:r>
        <w:rPr>
          <w:rFonts w:ascii="Arial" w:cs="Arial" w:eastAsia="Arial" w:hAnsi="Arial"/>
          <w:color w:val="404040"/>
          <w:sz w:val="22"/>
          <w:szCs w:val="22"/>
        </w:rPr>
        <w:t xml:space="preserve">Il segmento individuale (utenti privati e professionisti, distinto dal segmento business) è quello con il tasso di crescita più elevato: stime recenti indicano un CAGR del 19% nel periodo 2026-2031 per il solo segmento individuale, trainato dall'aumento della gig economy, dall'adozione di strumenti AI-assisted e dalla crescente consapevolezza del valore del personal branding.</w:t>
      </w:r>
    </w:p>
    <w:p>
      <w:pPr>
        <w:spacing w:after="60" w:before="0"/>
      </w:pPr>
      <w:r>
        <w:t xml:space="preserve"/>
      </w:r>
    </w:p>
    <w:p>
      <w:pPr>
        <w:spacing w:after="80" w:before="0"/>
      </w:pPr>
      <w:r>
        <w:rPr>
          <w:rFonts w:ascii="Arial" w:cs="Arial" w:eastAsia="Arial" w:hAnsi="Arial"/>
          <w:i/>
          <w:iCs/>
          <w:color w:val="888888"/>
          <w:sz w:val="16"/>
          <w:szCs w:val="16"/>
        </w:rPr>
        <w:t xml:space="preserve">Fonti: Mordor Intelligence, Website Builders Market, Jan 2026; Business Research Insights, Website Builder Platforms Market, 2026.</w:t>
      </w:r>
    </w:p>
    <w:p>
      <w:pPr>
        <w:spacing w:after="120" w:before="0"/>
      </w:pPr>
      <w:r>
        <w:t xml:space="preserve"/>
      </w:r>
    </w:p>
    <w:p>
      <w:pPr>
        <w:pStyle w:val="Heading3"/>
        <w:spacing w:after="80" w:before="200"/>
      </w:pPr>
      <w:r>
        <w:rPr>
          <w:rFonts w:ascii="Arial" w:cs="Arial" w:eastAsia="Arial" w:hAnsi="Arial"/>
          <w:b/>
          <w:bCs/>
          <w:color w:val="404040"/>
          <w:sz w:val="22"/>
          <w:szCs w:val="22"/>
        </w:rPr>
        <w:t xml:space="preserve">Il mercato del lavoro indipendente in Europa</w:t>
      </w:r>
    </w:p>
    <w:p>
      <w:pPr>
        <w:spacing w:after="100" w:before="60" w:line="276"/>
        <w:jc w:val="both"/>
      </w:pPr>
      <w:r>
        <w:rPr>
          <w:rFonts w:ascii="Arial" w:cs="Arial" w:eastAsia="Arial" w:hAnsi="Arial"/>
          <w:color w:val="404040"/>
          <w:sz w:val="22"/>
          <w:szCs w:val="22"/>
        </w:rPr>
        <w:t xml:space="preserve">La gig economy europea conta oggi circa 43 milioni di lavoratori, con una crescita annua stimata al 17%. Nei soli paesi dell'Europa occidentale — Germania, Francia, Italia, Spagna, Olanda, UK — il numero di freelancer e professionisti indipendenti supera i 20 milioni. In Italia, secondo dati INPS e osservatori del lavoro autonomo, i lavoratori autonomi e parasubordinati con competenze digitali rappresentano una platea di diversi milioni di individui con un bisogno diretto di presenza professionale online.</w:t>
      </w:r>
    </w:p>
    <w:p>
      <w:pPr>
        <w:spacing w:after="80" w:before="0"/>
      </w:pPr>
      <w:r>
        <w:t xml:space="preserve"/>
      </w:r>
    </w:p>
    <w:p>
      <w:pPr>
        <w:spacing w:after="100" w:before="60" w:line="276"/>
        <w:jc w:val="both"/>
      </w:pPr>
      <w:r>
        <w:rPr>
          <w:rFonts w:ascii="Arial" w:cs="Arial" w:eastAsia="Arial" w:hAnsi="Arial"/>
          <w:color w:val="404040"/>
          <w:sz w:val="22"/>
          <w:szCs w:val="22"/>
        </w:rPr>
        <w:t xml:space="preserve">Questo segmento ha una caratteristica fondamentale per OpenSelf: il professionista indipendente non ha un ufficio marketing o un reparto HR che lo rappresenta. La sua identità online è interamente a suo carico — e ogni ora dedicata ad aggiornarla è un'ora sottratta al lavoro che genera reddito.</w:t>
      </w:r>
    </w:p>
    <w:p>
      <w:pPr>
        <w:spacing w:after="60" w:before="0"/>
      </w:pPr>
      <w:r>
        <w:t xml:space="preserve"/>
      </w:r>
    </w:p>
    <w:p>
      <w:pPr>
        <w:spacing w:after="80" w:before="0"/>
      </w:pPr>
      <w:r>
        <w:rPr>
          <w:rFonts w:ascii="Arial" w:cs="Arial" w:eastAsia="Arial" w:hAnsi="Arial"/>
          <w:i/>
          <w:iCs/>
          <w:color w:val="888888"/>
          <w:sz w:val="16"/>
          <w:szCs w:val="16"/>
        </w:rPr>
        <w:t xml:space="preserve">Fonti: European Commission, Digital Labour Platforms Report, 2021; Talentup.io, The Rise of the Gig Economy in Europe, 2025.</w:t>
      </w:r>
    </w:p>
    <w:p>
      <w:pPr>
        <w:spacing w:after="120" w:before="0"/>
      </w:pPr>
      <w:r>
        <w:t xml:space="preserve"/>
      </w:r>
    </w:p>
    <w:p>
      <w:pPr>
        <w:pStyle w:val="Heading3"/>
        <w:spacing w:after="80" w:before="200"/>
      </w:pPr>
      <w:r>
        <w:rPr>
          <w:rFonts w:ascii="Arial" w:cs="Arial" w:eastAsia="Arial" w:hAnsi="Arial"/>
          <w:b/>
          <w:bCs/>
          <w:color w:val="404040"/>
          <w:sz w:val="22"/>
          <w:szCs w:val="22"/>
        </w:rPr>
        <w:t xml:space="preserve">Il mercato del personal branding digitale</w:t>
      </w:r>
    </w:p>
    <w:p>
      <w:pPr>
        <w:spacing w:after="100" w:before="60" w:line="276"/>
        <w:jc w:val="both"/>
      </w:pPr>
      <w:r>
        <w:rPr>
          <w:rFonts w:ascii="Arial" w:cs="Arial" w:eastAsia="Arial" w:hAnsi="Arial"/>
          <w:color w:val="404040"/>
          <w:sz w:val="22"/>
          <w:szCs w:val="22"/>
        </w:rPr>
        <w:t xml:space="preserve">Il mercato dei servizi e strumenti di personal branding (content creation, online presence optimization, social media management, website development per uso personale) ha un CAGR del 16,2% nel periodo 2020-2033. La crescente pressione competitiva nel mercato del lavoro — amplificata dalla diffusione dell'AI che aumenta la produttività individuale e quindi la pressione sulla differenziazione — rende il personal branding un investimento sempre meno opzionale per i professionisti.</w:t>
      </w:r>
    </w:p>
    <w:p>
      <w:pPr>
        <w:spacing w:after="60" w:before="0"/>
      </w:pPr>
      <w:r>
        <w:t xml:space="preserve"/>
      </w:r>
    </w:p>
    <w:p>
      <w:pPr>
        <w:spacing w:after="80" w:before="0"/>
      </w:pPr>
      <w:r>
        <w:rPr>
          <w:rFonts w:ascii="Arial" w:cs="Arial" w:eastAsia="Arial" w:hAnsi="Arial"/>
          <w:i/>
          <w:iCs/>
          <w:color w:val="888888"/>
          <w:sz w:val="16"/>
          <w:szCs w:val="16"/>
        </w:rPr>
        <w:t xml:space="preserve">Fonte: HTF Market Insights, Personal Brand Strategy Market, 2025.</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2.3 Dimensionamento del Mercato: TAM, SAM, SOM</w:t>
      </w:r>
    </w:p>
    <w:p>
      <w:pPr>
        <w:spacing w:after="60" w:before="0"/>
      </w:pPr>
      <w:r>
        <w:t xml:space="preserve"/>
      </w:r>
    </w:p>
    <w:p>
      <w:pPr>
        <w:spacing w:after="100" w:before="60" w:line="276"/>
        <w:jc w:val="both"/>
      </w:pPr>
      <w:r>
        <w:rPr>
          <w:rFonts w:ascii="Arial" w:cs="Arial" w:eastAsia="Arial" w:hAnsi="Arial"/>
          <w:color w:val="404040"/>
          <w:sz w:val="22"/>
          <w:szCs w:val="22"/>
        </w:rPr>
        <w:t xml:space="preserve">Il seguente dimensionamento adotta un approccio bottom-up per il SAM e il SOM, ancorato a dati di mercato verificabili e a ipotesi conservative di penetrazione.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Livello</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Valore (2026)</w:t>
            </w:r>
          </w:p>
        </w:tc>
        <w:tc>
          <w:tcPr>
            <w:tcW w:type="dxa" w:w="4826"/>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pPr>
              <w:jc w:val="center"/>
            </w:pPr>
            <w:r>
              <w:rPr>
                <w:rFonts w:ascii="Arial" w:cs="Arial" w:eastAsia="Arial" w:hAnsi="Arial"/>
                <w:b/>
                <w:bCs/>
                <w:color w:val="FFFFFF"/>
                <w:sz w:val="20"/>
                <w:szCs w:val="20"/>
              </w:rPr>
              <w:t xml:space="preserve">Definizione e logica di calcolo</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jc w:val="center"/>
            </w:pPr>
            <w:r>
              <w:rPr>
                <w:rFonts w:ascii="Arial" w:cs="Arial" w:eastAsia="Arial" w:hAnsi="Arial"/>
                <w:b/>
                <w:bCs/>
                <w:color w:val="1F4E79"/>
                <w:sz w:val="24"/>
                <w:szCs w:val="24"/>
              </w:rPr>
              <w:t xml:space="preserve">TAM</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jc w:val="center"/>
            </w:pPr>
            <w:r>
              <w:rPr>
                <w:rFonts w:ascii="Arial" w:cs="Arial" w:eastAsia="Arial" w:hAnsi="Arial"/>
                <w:b/>
                <w:bCs/>
                <w:color w:val="2E75B6"/>
                <w:sz w:val="26"/>
                <w:szCs w:val="26"/>
              </w:rPr>
              <w:t xml:space="preserve">~€5 miliardi</w:t>
            </w:r>
          </w:p>
        </w:tc>
        <w:tc>
          <w:tcPr>
            <w:tcW w:type="dxa" w:w="48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jc w:val="both"/>
            </w:pPr>
            <w:r>
              <w:rPr>
                <w:rFonts w:ascii="Arial" w:cs="Arial" w:eastAsia="Arial" w:hAnsi="Arial"/>
                <w:color w:val="404040"/>
                <w:sz w:val="20"/>
                <w:szCs w:val="20"/>
              </w:rPr>
              <w:t xml:space="preserve">Mercato globale degli strumenti per la presenza online personale (website builders + personal branding tools). Fonte: Mordor Intelligence 2026, CAGR 10-16%.</w:t>
            </w:r>
          </w:p>
        </w:tc>
      </w:tr>
      <w:tr>
        <w:tc>
          <w:tcPr>
            <w:tcW w:type="dxa" w:w="20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20"/>
            </w:tcMar>
          </w:tcPr>
          <w:p>
            <w:pPr>
              <w:jc w:val="center"/>
            </w:pPr>
            <w:r>
              <w:rPr>
                <w:rFonts w:ascii="Arial" w:cs="Arial" w:eastAsia="Arial" w:hAnsi="Arial"/>
                <w:b/>
                <w:bCs/>
                <w:color w:val="1F4E79"/>
                <w:sz w:val="24"/>
                <w:szCs w:val="24"/>
              </w:rPr>
              <w:t xml:space="preserve">SAM</w:t>
            </w:r>
          </w:p>
        </w:tc>
        <w:tc>
          <w:tcPr>
            <w:tcW w:type="dxa" w:w="220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20"/>
            </w:tcMar>
          </w:tcPr>
          <w:p>
            <w:pPr>
              <w:jc w:val="center"/>
            </w:pPr>
            <w:r>
              <w:rPr>
                <w:rFonts w:ascii="Arial" w:cs="Arial" w:eastAsia="Arial" w:hAnsi="Arial"/>
                <w:b/>
                <w:bCs/>
                <w:color w:val="2E75B6"/>
                <w:sz w:val="26"/>
                <w:szCs w:val="26"/>
              </w:rPr>
              <w:t xml:space="preserve">~€1,2 miliardi</w:t>
            </w:r>
          </w:p>
        </w:tc>
        <w:tc>
          <w:tcPr>
            <w:tcW w:type="dxa" w:w="4826"/>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20"/>
            </w:tcMar>
          </w:tcPr>
          <w:p>
            <w:pPr>
              <w:jc w:val="both"/>
            </w:pPr>
            <w:r>
              <w:rPr>
                <w:rFonts w:ascii="Arial" w:cs="Arial" w:eastAsia="Arial" w:hAnsi="Arial"/>
                <w:color w:val="404040"/>
                <w:sz w:val="20"/>
                <w:szCs w:val="20"/>
              </w:rPr>
              <w:t xml:space="preserve">Segmento europeo del mercato (27% del TAM globale), filtrato per utenti individuali/professionisti. Esclude il segmento business enterprise. Calcolato su: 20M+ professionisti europei × willingness to pay stimata €5-8/mese per il 30% del segmento.</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jc w:val="center"/>
            </w:pPr>
            <w:r>
              <w:rPr>
                <w:rFonts w:ascii="Arial" w:cs="Arial" w:eastAsia="Arial" w:hAnsi="Arial"/>
                <w:b/>
                <w:bCs/>
                <w:color w:val="1F4E79"/>
                <w:sz w:val="24"/>
                <w:szCs w:val="24"/>
              </w:rPr>
              <w:t xml:space="preserve">SOM</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jc w:val="center"/>
            </w:pPr>
            <w:r>
              <w:rPr>
                <w:rFonts w:ascii="Arial" w:cs="Arial" w:eastAsia="Arial" w:hAnsi="Arial"/>
                <w:b/>
                <w:bCs/>
                <w:color w:val="2E75B6"/>
                <w:sz w:val="26"/>
                <w:szCs w:val="26"/>
              </w:rPr>
              <w:t xml:space="preserve">~€27 milioni</w:t>
            </w:r>
          </w:p>
        </w:tc>
        <w:tc>
          <w:tcPr>
            <w:tcW w:type="dxa" w:w="4826"/>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pPr>
              <w:jc w:val="both"/>
            </w:pPr>
            <w:r>
              <w:rPr>
                <w:rFonts w:ascii="Arial" w:cs="Arial" w:eastAsia="Arial" w:hAnsi="Arial"/>
                <w:color w:val="404040"/>
                <w:sz w:val="20"/>
                <w:szCs w:val="20"/>
              </w:rPr>
              <w:t xml:space="preserve">Target realistico a 3 anni: 50.000 utenti paganti (Pro tier) × €9/mese × 12 mesi. Rappresenta il 2,3% del SAM europeo — penetrazione conservativa per un prodotto AI-first in un mercato in forte crescita.</w:t>
            </w:r>
          </w:p>
        </w:tc>
      </w:tr>
    </w:tbl>
    <w:p>
      <w:pPr>
        <w:spacing w:after="80" w:before="0"/>
      </w:pPr>
      <w:r>
        <w:t xml:space="preserve"/>
      </w:r>
    </w:p>
    <w:p>
      <w:pPr>
        <w:spacing w:after="100" w:before="60" w:line="276"/>
        <w:jc w:val="both"/>
      </w:pPr>
      <w:r>
        <w:rPr>
          <w:rFonts w:ascii="Arial" w:cs="Arial" w:eastAsia="Arial" w:hAnsi="Arial"/>
          <w:color w:val="404040"/>
          <w:sz w:val="22"/>
          <w:szCs w:val="22"/>
        </w:rPr>
        <w:t xml:space="preserve">Il SOM di €27M ARR a 3 anni è un obiettivo ambizioso ma difendibile: richiede di raggiungere 50.000 utenti paganti in Europa, partendo da un'infrastruttura prodotto già funzionante, in un mercato con crescita strutturale elevata e senza un competitor diretto nel segmento 'living page AI-powered'.</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2.4 Trend di Mercato Favorevoli</w:t>
      </w:r>
    </w:p>
    <w:p>
      <w:pPr>
        <w:spacing w:after="60" w:before="0"/>
      </w:pPr>
      <w:r>
        <w:t xml:space="preserve"/>
      </w:r>
    </w:p>
    <w:p>
      <w:pPr>
        <w:spacing w:after="100" w:before="60" w:line="276"/>
        <w:jc w:val="both"/>
      </w:pPr>
      <w:r>
        <w:rPr>
          <w:rFonts w:ascii="Arial" w:cs="Arial" w:eastAsia="Arial" w:hAnsi="Arial"/>
          <w:color w:val="404040"/>
          <w:sz w:val="22"/>
          <w:szCs w:val="22"/>
        </w:rPr>
        <w:t xml:space="preserve">Quattro macro-trend strutturali convergono nel rendere il 2026 un momento particolarmente favorevole per il lancio di OpenSelf in Europa.</w:t>
      </w:r>
    </w:p>
    <w:p>
      <w:pPr>
        <w:spacing w:after="100" w:before="0"/>
      </w:pPr>
      <w:r>
        <w:t xml:space="preserve"/>
      </w:r>
    </w:p>
    <w:p>
      <w:pPr>
        <w:pStyle w:val="Heading3"/>
        <w:spacing w:after="80" w:before="200"/>
      </w:pPr>
      <w:r>
        <w:rPr>
          <w:rFonts w:ascii="Arial" w:cs="Arial" w:eastAsia="Arial" w:hAnsi="Arial"/>
          <w:b/>
          <w:bCs/>
          <w:color w:val="404040"/>
          <w:sz w:val="22"/>
          <w:szCs w:val="22"/>
        </w:rPr>
        <w:t xml:space="preserve">Trend 1 — Esplosione della gig economy e del lavoro indipendente</w:t>
      </w:r>
    </w:p>
    <w:p>
      <w:pPr>
        <w:spacing w:after="100" w:before="60" w:line="276"/>
        <w:jc w:val="both"/>
      </w:pPr>
      <w:r>
        <w:rPr>
          <w:rFonts w:ascii="Arial" w:cs="Arial" w:eastAsia="Arial" w:hAnsi="Arial"/>
          <w:color w:val="404040"/>
          <w:sz w:val="22"/>
          <w:szCs w:val="22"/>
        </w:rPr>
        <w:t xml:space="preserve">Il numero di professionisti indipendenti in Europa cresce al 17% annuo. Ogni nuovo freelancer è un potenziale utente con un bisogno acuto: deve costruire una presenza professionale da zero, senza supporto aziendale, e aggiornala nel tempo autonomamente. La curva demografica è favorevole: il 48% dei lavoratori nella fascia 27-42 anni (la più attiva nel mercato del lavoro) è già coinvolta in forme di lavoro autonomo o freelance.</w:t>
      </w:r>
    </w:p>
    <w:p>
      <w:pPr>
        <w:spacing w:after="80" w:before="0"/>
      </w:pPr>
      <w:r>
        <w:t xml:space="preserve"/>
      </w:r>
    </w:p>
    <w:p>
      <w:pPr>
        <w:pStyle w:val="Heading3"/>
        <w:spacing w:after="80" w:before="200"/>
      </w:pPr>
      <w:r>
        <w:rPr>
          <w:rFonts w:ascii="Arial" w:cs="Arial" w:eastAsia="Arial" w:hAnsi="Arial"/>
          <w:b/>
          <w:bCs/>
          <w:color w:val="404040"/>
          <w:sz w:val="22"/>
          <w:szCs w:val="22"/>
        </w:rPr>
        <w:t xml:space="preserve">Trend 2 — Adozione di massa degli strumenti AI nel lavoro</w:t>
      </w:r>
    </w:p>
    <w:p>
      <w:pPr>
        <w:spacing w:after="100" w:before="60" w:line="276"/>
        <w:jc w:val="both"/>
      </w:pPr>
      <w:r>
        <w:rPr>
          <w:rFonts w:ascii="Arial" w:cs="Arial" w:eastAsia="Arial" w:hAnsi="Arial"/>
          <w:color w:val="404040"/>
          <w:sz w:val="22"/>
          <w:szCs w:val="22"/>
        </w:rPr>
        <w:t xml:space="preserve">L'adozione di strumenti AI per attività professionali è cresciuta esponenzialmente tra il 2023 e il 2026. Il 68% dei website builder ha introdotto funzionalità AI nel 2025. La familiarità degli utenti con interfacce conversazionali (ChatGPT, Claude, Gemini) ha abbassato significativamente la barriera psicologica all'utilizzo di un agente AI come interfaccia principale. OpenSelf non deve più convincere gli utenti che 'parlare con un AI' sia sicuro o utile — lo danno già per scontato.</w:t>
      </w:r>
    </w:p>
    <w:p>
      <w:pPr>
        <w:spacing w:after="80" w:before="0"/>
      </w:pPr>
      <w:r>
        <w:t xml:space="preserve"/>
      </w:r>
    </w:p>
    <w:p>
      <w:pPr>
        <w:pStyle w:val="Heading3"/>
        <w:spacing w:after="80" w:before="200"/>
      </w:pPr>
      <w:r>
        <w:rPr>
          <w:rFonts w:ascii="Arial" w:cs="Arial" w:eastAsia="Arial" w:hAnsi="Arial"/>
          <w:b/>
          <w:bCs/>
          <w:color w:val="404040"/>
          <w:sz w:val="22"/>
          <w:szCs w:val="22"/>
        </w:rPr>
        <w:t xml:space="preserve">Trend 3 — Il personal branding come necessità professionale</w:t>
      </w:r>
    </w:p>
    <w:p>
      <w:pPr>
        <w:spacing w:after="100" w:before="60" w:line="276"/>
        <w:jc w:val="both"/>
      </w:pPr>
      <w:r>
        <w:rPr>
          <w:rFonts w:ascii="Arial" w:cs="Arial" w:eastAsia="Arial" w:hAnsi="Arial"/>
          <w:color w:val="404040"/>
          <w:sz w:val="22"/>
          <w:szCs w:val="22"/>
        </w:rPr>
        <w:t xml:space="preserve">Il personal branding ha smesso di essere una nicchia per influencer e si è trasformato in una necessità professionale trasversale. Il 73% dei Fortune 500 richiede ora ai propri executive un'identità digitale attiva. Il 99% degli acquirenti considera il thought leadership critico nelle decisioni d'acquisto. Per i professionisti indipendenti, questa pressione è ancora più diretta: l'identità online è la prima (e spesso unica) impressione che un potenziale cliente riceve.</w:t>
      </w:r>
    </w:p>
    <w:p>
      <w:pPr>
        <w:spacing w:after="80" w:before="0"/>
      </w:pPr>
      <w:r>
        <w:t xml:space="preserve"/>
      </w:r>
    </w:p>
    <w:p>
      <w:pPr>
        <w:pStyle w:val="Heading3"/>
        <w:spacing w:after="80" w:before="200"/>
      </w:pPr>
      <w:r>
        <w:rPr>
          <w:rFonts w:ascii="Arial" w:cs="Arial" w:eastAsia="Arial" w:hAnsi="Arial"/>
          <w:b/>
          <w:bCs/>
          <w:color w:val="404040"/>
          <w:sz w:val="22"/>
          <w:szCs w:val="22"/>
        </w:rPr>
        <w:t xml:space="preserve">Trend 4 — Maturità dell'ecosistema AI e riduzione dei costi LLM</w:t>
      </w:r>
    </w:p>
    <w:p>
      <w:pPr>
        <w:spacing w:after="100" w:before="60" w:line="276"/>
        <w:jc w:val="both"/>
      </w:pPr>
      <w:r>
        <w:rPr>
          <w:rFonts w:ascii="Arial" w:cs="Arial" w:eastAsia="Arial" w:hAnsi="Arial"/>
          <w:color w:val="404040"/>
          <w:sz w:val="22"/>
          <w:szCs w:val="22"/>
        </w:rPr>
        <w:t xml:space="preserve">Il costo per token dei modelli LLM di ultima generazione è diminuito di oltre il 90% tra il 2023 e il 2026. Modelli come Google Gemini Flash offrono capacità conversazionali avanzate a costi marginali di pochi centesimi per interazione. Questo rende economicamente sostenibile un modello freemium dove la fascia gratuita copre i costi con ampio margine, e il tier Pro genera profitto a partire da un volume di utenti relativamente basso.</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2.5 Il Cliente Target e i Segmenti Prioritari</w:t>
      </w:r>
    </w:p>
    <w:p>
      <w:pPr>
        <w:spacing w:after="60" w:before="0"/>
      </w:pPr>
      <w:r>
        <w:t xml:space="preserve"/>
      </w:r>
    </w:p>
    <w:p>
      <w:pPr>
        <w:spacing w:after="100" w:before="60" w:line="276"/>
        <w:jc w:val="both"/>
      </w:pPr>
      <w:r>
        <w:rPr>
          <w:rFonts w:ascii="Arial" w:cs="Arial" w:eastAsia="Arial" w:hAnsi="Arial"/>
          <w:color w:val="404040"/>
          <w:sz w:val="22"/>
          <w:szCs w:val="22"/>
        </w:rPr>
        <w:t xml:space="preserve">OpenSelf si rivolge a chiunque voglia una presenza online personale, ma identifica tre segmenti prioritari per la fase di lancio, ordinati per urgenza del bisogno e willingness to pay.</w:t>
      </w:r>
    </w:p>
    <w:p>
      <w:pPr>
        <w:spacing w:after="100" w:before="0"/>
      </w:pPr>
      <w:r>
        <w:t xml:space="preserve"/>
      </w:r>
    </w:p>
    <w:p>
      <w:pPr>
        <w:pStyle w:val="Heading3"/>
        <w:spacing w:after="80" w:before="200"/>
      </w:pPr>
      <w:r>
        <w:rPr>
          <w:rFonts w:ascii="Arial" w:cs="Arial" w:eastAsia="Arial" w:hAnsi="Arial"/>
          <w:b/>
          <w:bCs/>
          <w:color w:val="404040"/>
          <w:sz w:val="22"/>
          <w:szCs w:val="22"/>
        </w:rPr>
        <w:t xml:space="preserve">Segmento primario — Freelancer e professionisti del lavoro autonomo</w:t>
      </w:r>
    </w:p>
    <w:p>
      <w:pPr>
        <w:spacing w:after="100" w:before="60" w:line="276"/>
        <w:jc w:val="both"/>
      </w:pPr>
      <w:r>
        <w:rPr>
          <w:rFonts w:ascii="Arial" w:cs="Arial" w:eastAsia="Arial" w:hAnsi="Arial"/>
          <w:color w:val="404040"/>
          <w:sz w:val="22"/>
          <w:szCs w:val="22"/>
        </w:rPr>
        <w:t xml:space="preserve">Il segmento con il bisogno più acuto e la willingness to pay più alta. Il freelancer non ha un employer che lo rappresenta: la sua pagina personale è il suo biglietto da visita, il suo portfolio, il suo strumento di acquisizione clienti. Ogni ora dedicata ad aggiornarla è un'ora non fatturabile. Il dolore è concreto, quantificabile, ricorrente.</w:t>
      </w:r>
    </w:p>
    <w:p>
      <w:pPr>
        <w:spacing w:after="60" w:before="0"/>
      </w:pPr>
      <w:r>
        <w:t xml:space="preserve"/>
      </w:r>
    </w:p>
    <w:p>
      <w:pPr>
        <w:pStyle w:val="ListParagraph"/>
        <w:numPr>
          <w:ilvl w:val="0"/>
          <w:numId w:val="2"/>
        </w:numPr>
        <w:spacing w:after="40" w:before="40" w:line="260"/>
      </w:pPr>
      <w:r>
        <w:rPr>
          <w:rFonts w:ascii="Arial" w:cs="Arial" w:eastAsia="Arial" w:hAnsi="Arial"/>
          <w:b/>
          <w:bCs/>
          <w:color w:val="404040"/>
          <w:sz w:val="22"/>
          <w:szCs w:val="22"/>
        </w:rPr>
        <w:t xml:space="preserve">Profilo tipico — </w:t>
      </w:r>
      <w:r>
        <w:rPr>
          <w:rFonts w:ascii="Arial" w:cs="Arial" w:eastAsia="Arial" w:hAnsi="Arial"/>
          <w:color w:val="404040"/>
          <w:sz w:val="22"/>
          <w:szCs w:val="22"/>
        </w:rPr>
        <w:t xml:space="preserve">Sviluppatori, designer, copywriter, consulenti, fotografi, traduttori, coach — professionisti con competenze specifiche che si vendono direttamente ai clienti.</w:t>
      </w:r>
    </w:p>
    <w:p>
      <w:pPr>
        <w:pStyle w:val="ListParagraph"/>
        <w:numPr>
          <w:ilvl w:val="0"/>
          <w:numId w:val="2"/>
        </w:numPr>
        <w:spacing w:after="40" w:before="40" w:line="260"/>
      </w:pPr>
      <w:r>
        <w:rPr>
          <w:rFonts w:ascii="Arial" w:cs="Arial" w:eastAsia="Arial" w:hAnsi="Arial"/>
          <w:b/>
          <w:bCs/>
          <w:color w:val="404040"/>
          <w:sz w:val="22"/>
          <w:szCs w:val="22"/>
        </w:rPr>
        <w:t xml:space="preserve">Dimensione — </w:t>
      </w:r>
      <w:r>
        <w:rPr>
          <w:rFonts w:ascii="Arial" w:cs="Arial" w:eastAsia="Arial" w:hAnsi="Arial"/>
          <w:color w:val="404040"/>
          <w:sz w:val="22"/>
          <w:szCs w:val="22"/>
        </w:rPr>
        <w:t xml:space="preserve">Italia conta oltre 2 milioni di partite IVA con profilo digitale rilevante; Europa occidentale ne conta oltre 20 milioni.</w:t>
      </w:r>
    </w:p>
    <w:p>
      <w:pPr>
        <w:pStyle w:val="ListParagraph"/>
        <w:numPr>
          <w:ilvl w:val="0"/>
          <w:numId w:val="2"/>
        </w:numPr>
        <w:spacing w:after="40" w:before="40" w:line="260"/>
      </w:pPr>
      <w:r>
        <w:rPr>
          <w:rFonts w:ascii="Arial" w:cs="Arial" w:eastAsia="Arial" w:hAnsi="Arial"/>
          <w:b/>
          <w:bCs/>
          <w:color w:val="404040"/>
          <w:sz w:val="22"/>
          <w:szCs w:val="22"/>
        </w:rPr>
        <w:t xml:space="preserve">Urgenza — </w:t>
      </w:r>
      <w:r>
        <w:rPr>
          <w:rFonts w:ascii="Arial" w:cs="Arial" w:eastAsia="Arial" w:hAnsi="Arial"/>
          <w:color w:val="404040"/>
          <w:sz w:val="22"/>
          <w:szCs w:val="22"/>
        </w:rPr>
        <w:t xml:space="preserve">Elevata: il costo di non avere una presenza aggiornata è direttamente misurabile in opportunità perse.</w:t>
      </w:r>
    </w:p>
    <w:p>
      <w:pPr>
        <w:spacing w:after="100" w:before="0"/>
      </w:pPr>
      <w:r>
        <w:t xml:space="preserve"/>
      </w:r>
    </w:p>
    <w:p>
      <w:pPr>
        <w:pStyle w:val="Heading3"/>
        <w:spacing w:after="80" w:before="200"/>
      </w:pPr>
      <w:r>
        <w:rPr>
          <w:rFonts w:ascii="Arial" w:cs="Arial" w:eastAsia="Arial" w:hAnsi="Arial"/>
          <w:b/>
          <w:bCs/>
          <w:color w:val="404040"/>
          <w:sz w:val="22"/>
          <w:szCs w:val="22"/>
        </w:rPr>
        <w:t xml:space="preserve">Segmento secondario — Professionisti dipendenti con personal brand attivo</w:t>
      </w:r>
    </w:p>
    <w:p>
      <w:pPr>
        <w:spacing w:after="100" w:before="60" w:line="276"/>
        <w:jc w:val="both"/>
      </w:pPr>
      <w:r>
        <w:rPr>
          <w:rFonts w:ascii="Arial" w:cs="Arial" w:eastAsia="Arial" w:hAnsi="Arial"/>
          <w:color w:val="404040"/>
          <w:sz w:val="22"/>
          <w:szCs w:val="22"/>
        </w:rPr>
        <w:t xml:space="preserve">Manager, ricercatori, accademici, giornalisti, esperti di settore che costruiscono un'identità pubblica parallela al proprio ruolo aziendale. Questo segmento ha bisogno di una pagina che evolva con la loro carriera e rifletta il loro pensiero e la loro expertise — non semplicemente un CV online.</w:t>
      </w:r>
    </w:p>
    <w:p>
      <w:pPr>
        <w:spacing w:after="100" w:before="0"/>
      </w:pPr>
      <w:r>
        <w:t xml:space="preserve"/>
      </w:r>
    </w:p>
    <w:p>
      <w:pPr>
        <w:pStyle w:val="Heading3"/>
        <w:spacing w:after="80" w:before="200"/>
      </w:pPr>
      <w:r>
        <w:rPr>
          <w:rFonts w:ascii="Arial" w:cs="Arial" w:eastAsia="Arial" w:hAnsi="Arial"/>
          <w:b/>
          <w:bCs/>
          <w:color w:val="404040"/>
          <w:sz w:val="22"/>
          <w:szCs w:val="22"/>
        </w:rPr>
        <w:t xml:space="preserve">Segmento terziario — Studenti e professionisti in transizione</w:t>
      </w:r>
    </w:p>
    <w:p>
      <w:pPr>
        <w:spacing w:after="100" w:before="60" w:line="276"/>
        <w:jc w:val="both"/>
      </w:pPr>
      <w:r>
        <w:rPr>
          <w:rFonts w:ascii="Arial" w:cs="Arial" w:eastAsia="Arial" w:hAnsi="Arial"/>
          <w:color w:val="404040"/>
          <w:sz w:val="22"/>
          <w:szCs w:val="22"/>
        </w:rPr>
        <w:t xml:space="preserve">Persone in cerca di lavoro, neolaureati, professionisti che cambiano settore. Per questo segmento la pagina personale è uno strumento di presentazione critico in una fase ad alto stakes. Il bisogno è intenso ma temporaneo — il tasso di retention è inferiore agli altri segmenti, ma il volume è alto e il costo di acquisizione basso (passaparola tra pari).</w:t>
      </w:r>
    </w:p>
    <w:p>
      <w:pPr>
        <w:spacing w:after="160" w:before="0"/>
      </w:pPr>
      <w:r>
        <w:t xml:space="preserve"/>
      </w:r>
    </w:p>
    <w:p>
      <w:pPr>
        <w:pStyle w:val="Heading2"/>
        <w:spacing w:after="120" w:before="300"/>
      </w:pPr>
      <w:r>
        <w:rPr>
          <w:rFonts w:ascii="Arial" w:cs="Arial" w:eastAsia="Arial" w:hAnsi="Arial"/>
          <w:b/>
          <w:bCs/>
          <w:color w:val="2E75B6"/>
          <w:sz w:val="26"/>
          <w:szCs w:val="26"/>
        </w:rPr>
        <w:t xml:space="preserve">2.6 Perché Adesso e Perché in Europa</w:t>
      </w:r>
    </w:p>
    <w:p>
      <w:pPr>
        <w:spacing w:after="60" w:before="0"/>
      </w:pPr>
      <w:r>
        <w:t xml:space="preserve"/>
      </w:r>
    </w:p>
    <w:p>
      <w:pPr>
        <w:spacing w:after="100" w:before="60" w:line="276"/>
        <w:jc w:val="both"/>
      </w:pPr>
      <w:r>
        <w:rPr>
          <w:rFonts w:ascii="Arial" w:cs="Arial" w:eastAsia="Arial" w:hAnsi="Arial"/>
          <w:color w:val="404040"/>
          <w:sz w:val="22"/>
          <w:szCs w:val="22"/>
        </w:rPr>
        <w:t xml:space="preserve">Il momento è favorevole per ragioni sia di mercato sia di contesto regolatorio. L'AI Act europeo, entrato in vigore nel 2024, crea un contesto in cui le soluzioni AI sviluppate in Europa con un approccio privacy-first e trasparente hanno un vantaggio competitivo rispetto alle piattaforme americane. OpenSelf è una piattaforma SaaS costruita con un'architettura privacy-by-design: nessuna pubblicità, nessun tracking, nessuna cessione dei dati a terzi. Il dato appartiene all'utente — accessibile sempre, esportabile, cancellabile. Questo profilo è allineato ai valori dell'utente europeo e alle aspettative regolatorie del GDPR e dell'AI Act in modo che i grandi player americani non possono replicare senza stravolgere il proprio modello di business.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5631" w:sz="6"/>
              <w:left w:val="single" w:color="1E5631" w:sz="12"/>
              <w:bottom w:val="single" w:color="CCCCCC" w:sz="1"/>
              <w:right w:val="single" w:color="CCCCCC" w:sz="1"/>
            </w:tcBorders>
            <w:shd w:fill="D9EAD3" w:val="clear"/>
            <w:tcMar>
              <w:top w:type="dxa" w:w="120"/>
              <w:left w:type="dxa" w:w="200"/>
              <w:bottom w:type="dxa" w:w="120"/>
              <w:right w:type="dxa" w:w="160"/>
            </w:tcMar>
          </w:tcPr>
          <w:p>
            <w:pPr>
              <w:spacing w:after="60" w:before="0"/>
            </w:pPr>
            <w:r>
              <w:rPr>
                <w:rFonts w:ascii="Arial" w:cs="Arial" w:eastAsia="Arial" w:hAnsi="Arial"/>
                <w:b/>
                <w:bCs/>
                <w:color w:val="1E5631"/>
                <w:sz w:val="20"/>
                <w:szCs w:val="20"/>
              </w:rPr>
              <w:t xml:space="preserve">Vantaggio competitivo nel contesto europeo</w:t>
            </w:r>
          </w:p>
          <w:p>
            <w:pPr>
              <w:spacing w:after="0" w:before="0"/>
              <w:jc w:val="both"/>
            </w:pPr>
            <w:r>
              <w:rPr>
                <w:rFonts w:ascii="Arial" w:cs="Arial" w:eastAsia="Arial" w:hAnsi="Arial"/>
                <w:color w:val="404040"/>
                <w:sz w:val="22"/>
                <w:szCs w:val="22"/>
              </w:rPr>
              <w:t xml:space="preserve">Le piattaforme americane (LinkedIn, Wix, Squarespace) monetizzano i dati degli utenti europei attraverso pubblicità e data sharing con terze parti. OpenSelf è costruito attorno al principio opposto: il dato appartiene all'utente, non alla piattaforma. L'utente può esportare o cancellare integralmente il proprio profilo in qualsiasi momento. Nessun dato viene usato per advertising, profilazione o addestramento di modelli AI senza consenso esplicito. In un mercato dove la fiducia nel trattamento dei dati personali è diventata un fattore decisivo per le scelte degli utenti europei, questo non è solo un valore etico — è un vantaggio competitivo strutturale e un requisito di conformità.</w:t>
            </w:r>
          </w:p>
        </w:tc>
      </w:tr>
    </w:tbl>
    <w:p>
      <w:pPr>
        <w:spacing w:after="160" w:before="0"/>
      </w:pPr>
      <w:r>
        <w:t xml:space="preserve"/>
      </w:r>
    </w:p>
    <w:p>
      <w:pPr>
        <w:pBdr>
          <w:top w:val="single" w:color="CCCCCC" w:sz="4" w:space="8"/>
        </w:pBdr>
        <w:spacing w:after="0" w:before="0"/>
      </w:pPr>
      <w:r>
        <w:rPr>
          <w:rFonts w:ascii="Arial" w:cs="Arial" w:eastAsia="Arial" w:hAnsi="Arial"/>
          <w:i/>
          <w:iCs/>
          <w:color w:val="AAAAAA"/>
          <w:sz w:val="16"/>
          <w:szCs w:val="16"/>
        </w:rPr>
        <w:t xml:space="preserve">OpenSelf — Piano d'Impresa | Sezione 2: Il Problema e l'Opportunità di Mercato | Documento riservato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2026-03-12T15:12:01.343Z</dcterms:created>
  <dcterms:modified xsi:type="dcterms:W3CDTF">2026-03-12T15:12:01.344Z</dcterms:modified>
</cp:coreProperties>
</file>

<file path=docProps/custom.xml><?xml version="1.0" encoding="utf-8"?>
<Properties xmlns="http://schemas.openxmlformats.org/officeDocument/2006/custom-properties" xmlns:vt="http://schemas.openxmlformats.org/officeDocument/2006/docPropsVTypes"/>
</file>