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00" w:before="400"/>
      </w:pPr>
      <w:r>
        <w:rPr>
          <w:rFonts w:ascii="Arial" w:cs="Arial" w:eastAsia="Arial" w:hAnsi="Arial"/>
          <w:b/>
          <w:bCs/>
          <w:color w:val="1F4E79"/>
          <w:sz w:val="32"/>
          <w:szCs w:val="32"/>
        </w:rPr>
        <w:t xml:space="preserve">6. Go-to-Market e Traction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2E75B6"/>
                <w:sz w:val="20"/>
                <w:szCs w:val="20"/>
              </w:rPr>
              <w:t xml:space="preserve">Principio guida: validazione prima di acquisizione</w:t>
            </w:r>
          </w:p>
          <w:p>
            <w:pPr>
              <w:spacing w:after="0" w:before="0"/>
              <w:jc w:val="both"/>
            </w:pPr>
            <w:r>
              <w:rPr>
                <w:rFonts w:ascii="Arial" w:cs="Arial" w:eastAsia="Arial" w:hAnsi="Arial"/>
                <w:color w:val="404040"/>
                <w:sz w:val="22"/>
                <w:szCs w:val="22"/>
              </w:rPr>
              <w:t xml:space="preserve">OpenSelf non investe in acquisizione a pagamento finché il prodotto non ha dimostrato retention. I canali organici, le community di freelancer, e il passaparola diretto sono sufficienti per i primi 50 utenti beta — l'unico obiettivo della Fase 0.</w:t>
            </w:r>
          </w:p>
        </w:tc>
      </w:tr>
    </w:tbl>
    <w:p>
      <w:pPr>
        <w:spacing w:after="160" w:before="0"/>
      </w:pPr>
      <w:r>
        <w:t xml:space="preserve"/>
      </w:r>
    </w:p>
    <w:p>
      <w:pPr>
        <w:pStyle w:val="Heading2"/>
        <w:spacing w:after="120" w:before="300"/>
      </w:pPr>
      <w:r>
        <w:rPr>
          <w:rFonts w:ascii="Arial" w:cs="Arial" w:eastAsia="Arial" w:hAnsi="Arial"/>
          <w:b/>
          <w:bCs/>
          <w:color w:val="2E75B6"/>
          <w:sz w:val="26"/>
          <w:szCs w:val="26"/>
        </w:rPr>
        <w:t xml:space="preserve">6.1 Strategia di Go-to-Market</w:t>
      </w:r>
    </w:p>
    <w:p>
      <w:pPr>
        <w:spacing w:after="60" w:before="0"/>
      </w:pPr>
      <w:r>
        <w:t xml:space="preserve"/>
      </w:r>
    </w:p>
    <w:p>
      <w:pPr>
        <w:spacing w:after="100" w:before="60" w:line="276"/>
        <w:jc w:val="both"/>
      </w:pPr>
      <w:r>
        <w:rPr>
          <w:rFonts w:ascii="Arial" w:cs="Arial" w:eastAsia="Arial" w:hAnsi="Arial"/>
          <w:color w:val="404040"/>
          <w:sz w:val="22"/>
          <w:szCs w:val="22"/>
        </w:rPr>
        <w:t xml:space="preserve">La strategia GTM di OpenSelf è strutturata in tre fasi sequenziali, ciascuna con obiettivi distinti e canali di acquisizione appropriati alla scala del momento. L'approccio è deliberatamente bottom-up: partire da un mercato verticale ristretto (freelancer italiani), dominarlo, poi espandersi.</w:t>
      </w:r>
    </w:p>
    <w:p>
      <w:pPr>
        <w:spacing w:after="80" w:before="0"/>
      </w:pPr>
      <w:r>
        <w:t xml:space="preserve"/>
      </w:r>
    </w:p>
    <w:p>
      <w:pPr>
        <w:pStyle w:val="Heading3"/>
        <w:spacing w:after="80" w:before="200"/>
      </w:pPr>
      <w:r>
        <w:rPr>
          <w:rFonts w:ascii="Arial" w:cs="Arial" w:eastAsia="Arial" w:hAnsi="Arial"/>
          <w:b/>
          <w:bCs/>
          <w:color w:val="404040"/>
          <w:sz w:val="22"/>
          <w:szCs w:val="22"/>
        </w:rPr>
        <w:t xml:space="preserve">Fase 0 — Validazione (M1–M3): 50 utenti beta</w:t>
      </w:r>
    </w:p>
    <w:p>
      <w:pPr>
        <w:spacing w:after="100" w:before="60" w:line="276"/>
        <w:jc w:val="both"/>
      </w:pPr>
      <w:r>
        <w:rPr>
          <w:rFonts w:ascii="Arial" w:cs="Arial" w:eastAsia="Arial" w:hAnsi="Arial"/>
          <w:color w:val="404040"/>
          <w:sz w:val="22"/>
          <w:szCs w:val="22"/>
        </w:rPr>
        <w:t xml:space="preserve">L'obiettivo non è la crescita numerica ma la qualità del segnale. 50 utenti selezionati manualmente, intervistati direttamente, che forniscono feedback strutturato. Il canale principale è il network professionale del fondatore su LinkedIn e Twitter/X (@openself_dev), integrato da community italiane di freelancer e developer. Il costo di acquisizione in questa fase è essenzialmente zero: nessun budget marketing, nessuna pubblicità, solo outreach diretto e personalizzato.</w:t>
      </w:r>
    </w:p>
    <w:p>
      <w:pPr>
        <w:spacing w:after="80" w:before="0"/>
      </w:pPr>
      <w:r>
        <w:t xml:space="preserve"/>
      </w:r>
    </w:p>
    <w:p>
      <w:pPr>
        <w:pStyle w:val="Heading3"/>
        <w:spacing w:after="80" w:before="200"/>
      </w:pPr>
      <w:r>
        <w:rPr>
          <w:rFonts w:ascii="Arial" w:cs="Arial" w:eastAsia="Arial" w:hAnsi="Arial"/>
          <w:b/>
          <w:bCs/>
          <w:color w:val="404040"/>
          <w:sz w:val="22"/>
          <w:szCs w:val="22"/>
        </w:rPr>
        <w:t xml:space="preserve">Fase 1 — Lancio pubblico (M4–M9): 500 utenti</w:t>
      </w:r>
    </w:p>
    <w:p>
      <w:pPr>
        <w:spacing w:after="100" w:before="60" w:line="276"/>
        <w:jc w:val="both"/>
      </w:pPr>
      <w:r>
        <w:rPr>
          <w:rFonts w:ascii="Arial" w:cs="Arial" w:eastAsia="Arial" w:hAnsi="Arial"/>
          <w:color w:val="404040"/>
          <w:sz w:val="22"/>
          <w:szCs w:val="22"/>
        </w:rPr>
        <w:t xml:space="preserve">Dopo la validazione, il lancio su Product Hunt e Indie Hackers rappresenta il primo momento di distribuzione massiva a costo zero. Il lancio viene preparato con un'email list di almeno 200 persone costruita durante la beta. Il referral program viene attivato al momento del lancio Pro: ogni utente che porta un pagante ottiene un mese gratuito — un incentivo autofinanziato. La SEO viene alimentata con contenuti organici (guide su personal branding, tutorial su come costruire una pagina professionale efficace).</w:t>
      </w:r>
    </w:p>
    <w:p>
      <w:pPr>
        <w:spacing w:after="80" w:before="0"/>
      </w:pPr>
      <w:r>
        <w:t xml:space="preserve"/>
      </w:r>
    </w:p>
    <w:p>
      <w:pPr>
        <w:pStyle w:val="Heading3"/>
        <w:spacing w:after="80" w:before="200"/>
      </w:pPr>
      <w:r>
        <w:rPr>
          <w:rFonts w:ascii="Arial" w:cs="Arial" w:eastAsia="Arial" w:hAnsi="Arial"/>
          <w:b/>
          <w:bCs/>
          <w:color w:val="404040"/>
          <w:sz w:val="22"/>
          <w:szCs w:val="22"/>
        </w:rPr>
        <w:t xml:space="preserve">Fase 2 — Crescita organica (M10–M24): 5.000 utenti</w:t>
      </w:r>
    </w:p>
    <w:p>
      <w:pPr>
        <w:spacing w:after="100" w:before="60" w:line="276"/>
        <w:jc w:val="both"/>
      </w:pPr>
      <w:r>
        <w:rPr>
          <w:rFonts w:ascii="Arial" w:cs="Arial" w:eastAsia="Arial" w:hAnsi="Arial"/>
          <w:color w:val="404040"/>
          <w:sz w:val="22"/>
          <w:szCs w:val="22"/>
        </w:rPr>
        <w:t xml:space="preserve">A questo punto il prodotto deve generare acquisizione autonoma attraverso il meccanismo virale più naturale: le pagine OpenSelf sono pubbliche e indicizzabili. Ogni pagina pubblicata porta il branding OpenSelf visibile in modo discreto, generando curiosità e traffico verso il sito. La strategia SEO matura con contenuti long-tail mirati ai professionisti italiani ed europei. Si valuta l'attivazione di micro-campagne su LinkedIn Ads mirate per settore (sviluppatori, designer, consulenti) con budget contenuto (€500–1.000/mese).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6.2 Mercato Primario di Attacco: Freelancer Italiani</w:t>
      </w:r>
    </w:p>
    <w:p>
      <w:pPr>
        <w:spacing w:after="60" w:before="0"/>
      </w:pPr>
      <w:r>
        <w:t xml:space="preserve"/>
      </w:r>
    </w:p>
    <w:p>
      <w:pPr>
        <w:spacing w:after="100" w:before="60" w:line="276"/>
        <w:jc w:val="both"/>
      </w:pPr>
      <w:r>
        <w:rPr>
          <w:rFonts w:ascii="Arial" w:cs="Arial" w:eastAsia="Arial" w:hAnsi="Arial"/>
          <w:color w:val="404040"/>
          <w:sz w:val="22"/>
          <w:szCs w:val="22"/>
        </w:rPr>
        <w:t xml:space="preserve">Il beachhead di OpenSelf è il mercato italiano dei freelancer con profilo digitale rilevante. La scelta non è geografica per default ma strategica: l'Italia conta oltre 2 milioni di partite IVA in settori ad alta intensità di personal brand (sviluppo software, design, consulenza, comunicazione, fotografia, coaching). È un mercato accessibile direttamente dall'Italia, culturalmente e linguisticamente omogeneo, e sottosviluppato in termini di strumenti di personal branding rispetto agli equivalenti anglofoni.</w:t>
      </w:r>
    </w:p>
    <w:p>
      <w:pPr>
        <w:spacing w:after="80" w:before="0"/>
      </w:pPr>
      <w:r>
        <w:t xml:space="preserve"/>
      </w:r>
    </w:p>
    <w:p>
      <w:pPr>
        <w:pStyle w:val="ListParagraph"/>
        <w:numPr>
          <w:ilvl w:val="0"/>
          <w:numId w:val="2"/>
        </w:numPr>
        <w:spacing w:after="40" w:before="40" w:line="260"/>
      </w:pPr>
      <w:r>
        <w:rPr>
          <w:rFonts w:ascii="Arial" w:cs="Arial" w:eastAsia="Arial" w:hAnsi="Arial"/>
          <w:b/>
          <w:bCs/>
          <w:color w:val="404040"/>
          <w:sz w:val="22"/>
          <w:szCs w:val="22"/>
        </w:rPr>
        <w:t xml:space="preserve">Segmento A — </w:t>
      </w:r>
      <w:r>
        <w:rPr>
          <w:rFonts w:ascii="Arial" w:cs="Arial" w:eastAsia="Arial" w:hAnsi="Arial"/>
          <w:color w:val="404040"/>
          <w:sz w:val="22"/>
          <w:szCs w:val="22"/>
        </w:rPr>
        <w:t xml:space="preserve">Sviluppatori e designer freelance: il segmento con il dolore più acuto — portfolio costantemente obsoleto, GitHub attivo ma non comunicato, progetti difficili da presentare a clienti non tecnici</w:t>
      </w:r>
    </w:p>
    <w:p>
      <w:pPr>
        <w:pStyle w:val="ListParagraph"/>
        <w:numPr>
          <w:ilvl w:val="0"/>
          <w:numId w:val="2"/>
        </w:numPr>
        <w:spacing w:after="40" w:before="40" w:line="260"/>
      </w:pPr>
      <w:r>
        <w:rPr>
          <w:rFonts w:ascii="Arial" w:cs="Arial" w:eastAsia="Arial" w:hAnsi="Arial"/>
          <w:b/>
          <w:bCs/>
          <w:color w:val="404040"/>
          <w:sz w:val="22"/>
          <w:szCs w:val="22"/>
        </w:rPr>
        <w:t xml:space="preserve">Segmento B — </w:t>
      </w:r>
      <w:r>
        <w:rPr>
          <w:rFonts w:ascii="Arial" w:cs="Arial" w:eastAsia="Arial" w:hAnsi="Arial"/>
          <w:color w:val="404040"/>
          <w:sz w:val="22"/>
          <w:szCs w:val="22"/>
        </w:rPr>
        <w:t xml:space="preserve">Consulenti e professionisti della conoscenza: manager, coach, esperti di settore che costruiscono una brand personale parallela al lavoro dipendente. Spesso LinkedIn è il loro unico punto di presenza digitale: la migrazione verso una pagina propria è un'opportunità naturale</w:t>
      </w:r>
    </w:p>
    <w:p>
      <w:pPr>
        <w:pStyle w:val="ListParagraph"/>
        <w:numPr>
          <w:ilvl w:val="0"/>
          <w:numId w:val="2"/>
        </w:numPr>
        <w:spacing w:after="40" w:before="40" w:line="260"/>
      </w:pPr>
      <w:r>
        <w:rPr>
          <w:rFonts w:ascii="Arial" w:cs="Arial" w:eastAsia="Arial" w:hAnsi="Arial"/>
          <w:b/>
          <w:bCs/>
          <w:color w:val="404040"/>
          <w:sz w:val="22"/>
          <w:szCs w:val="22"/>
        </w:rPr>
        <w:t xml:space="preserve">Segmento C — </w:t>
      </w:r>
      <w:r>
        <w:rPr>
          <w:rFonts w:ascii="Arial" w:cs="Arial" w:eastAsia="Arial" w:hAnsi="Arial"/>
          <w:color w:val="404040"/>
          <w:sz w:val="22"/>
          <w:szCs w:val="22"/>
        </w:rPr>
        <w:t xml:space="preserve">Creativi e professionisti del contenuto: fotografi, copywriter, social media manager, giornalisti. Hanno portfolio da mostrare e attività continue da comunicare — il connettore RSS/Atom è il loro killer feature</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6.3 Canali di Acquisizione</w:t>
      </w:r>
    </w:p>
    <w:p>
      <w:pPr>
        <w:spacing w:after="60" w:before="0"/>
      </w:pPr>
      <w:r>
        <w:t xml:space="preserve"/>
      </w:r>
    </w:p>
    <w:p>
      <w:pPr>
        <w:spacing w:after="100" w:before="60" w:line="276"/>
        <w:jc w:val="both"/>
      </w:pPr>
      <w:r>
        <w:rPr>
          <w:rFonts w:ascii="Arial" w:cs="Arial" w:eastAsia="Arial" w:hAnsi="Arial"/>
          <w:color w:val="404040"/>
          <w:sz w:val="22"/>
          <w:szCs w:val="22"/>
        </w:rPr>
        <w:t xml:space="preserve">I canali sono ordinati per priorità temporale. I canali organici e gratuiti sono prioritari nella fase di validazione; i canali a pagamento vengono attivati solo dopo la validazione del PMF.</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Canale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Target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Obiettivo</w:t>
            </w:r>
          </w:p>
        </w:tc>
        <w:tc>
          <w:tcPr>
            <w:tcW w:type="dxa" w:w="2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CAC stimato</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bCs/>
                <w:color w:val="404040"/>
                <w:sz w:val="19"/>
                <w:szCs w:val="19"/>
              </w:rPr>
              <w:t xml:space="preserve">LinkedIn + Twitter/X</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Freelancer, developer, designer</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Beta recruitment (M1–M3) e brand awareness continuativa</w:t>
            </w:r>
          </w:p>
        </w:tc>
        <w:tc>
          <w:tcPr>
            <w:tcW w:type="dxa" w:w="24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€0 (organico)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bCs/>
                <w:color w:val="404040"/>
                <w:sz w:val="19"/>
                <w:szCs w:val="19"/>
              </w:rPr>
              <w:t xml:space="preserve">Community italiane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Dev.to Italia, Freelancer Italiani, Slack/Discord di settore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50 utenti beta da community targeted</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€0 (outreach diretto)</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bCs/>
                <w:color w:val="404040"/>
                <w:sz w:val="19"/>
                <w:szCs w:val="19"/>
              </w:rPr>
              <w:t xml:space="preserve">Product Hunt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Early adopters internazionali, developer</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Lancio pubblico, 100–300 sign-up giornalieri</w:t>
            </w:r>
          </w:p>
        </w:tc>
        <w:tc>
          <w:tcPr>
            <w:tcW w:type="dxa" w:w="24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€0 (lancio preparato)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bCs/>
                <w:color w:val="404040"/>
                <w:sz w:val="19"/>
                <w:szCs w:val="19"/>
              </w:rPr>
              <w:t xml:space="preserve">Indie Hackers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Builder, solopreneur, developer</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Traction e credibilità nel mercato indie</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€0 (contenuto)</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bCs/>
                <w:color w:val="404040"/>
                <w:sz w:val="19"/>
                <w:szCs w:val="19"/>
              </w:rPr>
              <w:t xml:space="preserve">SEO + content</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Freelancer con intent di personal branding</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Traffico organico continuativo da M6+</w:t>
            </w:r>
          </w:p>
        </w:tc>
        <w:tc>
          <w:tcPr>
            <w:tcW w:type="dxa" w:w="24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€5–15 (costo creazione contenuto)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bCs/>
                <w:color w:val="404040"/>
                <w:sz w:val="19"/>
                <w:szCs w:val="19"/>
              </w:rPr>
              <w:t xml:space="preserve">Referral program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Utenti esistenti soddisfatti</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Acquisizione a basso CAC da M6+</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€9 (1 mese Pro gratuito)</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bCs/>
                <w:color w:val="404040"/>
                <w:sz w:val="19"/>
                <w:szCs w:val="19"/>
              </w:rPr>
              <w:t xml:space="preserve">LinkedIn Ads (demand-driven)</w:t>
            </w:r>
          </w:p>
        </w:tc>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Consulenti, designer, developer IT/EU</w:t>
            </w:r>
          </w:p>
        </w:tc>
        <w:tc>
          <w:tcPr>
            <w:tcW w:type="dxa" w:w="26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Scaling controllato da M12+</w:t>
            </w:r>
          </w:p>
        </w:tc>
        <w:tc>
          <w:tcPr>
            <w:tcW w:type="dxa" w:w="24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both"/>
            </w:pPr>
            <w:r>
              <w:rPr>
                <w:rFonts w:ascii="Arial" w:cs="Arial" w:eastAsia="Arial" w:hAnsi="Arial"/>
                <w:b w:val="false"/>
                <w:bCs w:val="false"/>
                <w:color w:val="404040"/>
                <w:sz w:val="19"/>
                <w:szCs w:val="19"/>
              </w:rPr>
              <w:t xml:space="preserve">€15–25 (target)</w:t>
            </w:r>
          </w:p>
        </w:tc>
      </w:tr>
    </w:tbl>
    <w:p>
      <w:pPr>
        <w:spacing w:after="160" w:before="0"/>
      </w:pPr>
      <w:r>
        <w:t xml:space="preserve"/>
      </w:r>
    </w:p>
    <w:p>
      <w:pPr>
        <w:pStyle w:val="Heading2"/>
        <w:spacing w:after="120" w:before="300"/>
      </w:pPr>
      <w:r>
        <w:rPr>
          <w:rFonts w:ascii="Arial" w:cs="Arial" w:eastAsia="Arial" w:hAnsi="Arial"/>
          <w:b/>
          <w:bCs/>
          <w:color w:val="2E75B6"/>
          <w:sz w:val="26"/>
          <w:szCs w:val="26"/>
        </w:rPr>
        <w:t xml:space="preserve">6.4 Piano di Beta (M1–M3)</w:t>
      </w:r>
    </w:p>
    <w:p>
      <w:pPr>
        <w:spacing w:after="60" w:before="0"/>
      </w:pPr>
      <w:r>
        <w:t xml:space="preserve"/>
      </w:r>
    </w:p>
    <w:p>
      <w:pPr>
        <w:spacing w:after="100" w:before="60" w:line="276"/>
        <w:jc w:val="both"/>
      </w:pPr>
      <w:r>
        <w:rPr>
          <w:rFonts w:ascii="Arial" w:cs="Arial" w:eastAsia="Arial" w:hAnsi="Arial"/>
          <w:color w:val="404040"/>
          <w:sz w:val="22"/>
          <w:szCs w:val="22"/>
        </w:rPr>
        <w:t xml:space="preserve">Il piano di beta è strutturato come un esperimento controllato, non come un lancio. L'obiettivo è raccogliere segnali di qualità da un campione rappresentativo dei tre segmenti target prima di investire in distribuzione.</w:t>
      </w:r>
    </w:p>
    <w:p>
      <w:pPr>
        <w:spacing w:after="80" w:before="0"/>
      </w:pPr>
      <w:r>
        <w:t xml:space="preserve"/>
      </w:r>
    </w:p>
    <w:p>
      <w:pPr>
        <w:pStyle w:val="Heading3"/>
        <w:spacing w:after="80" w:before="200"/>
      </w:pPr>
      <w:r>
        <w:rPr>
          <w:rFonts w:ascii="Arial" w:cs="Arial" w:eastAsia="Arial" w:hAnsi="Arial"/>
          <w:b/>
          <w:bCs/>
          <w:color w:val="404040"/>
          <w:sz w:val="22"/>
          <w:szCs w:val="22"/>
        </w:rPr>
        <w:t xml:space="preserve">Recruitment dei beta user</w:t>
      </w:r>
    </w:p>
    <w:p>
      <w:pPr>
        <w:spacing w:after="100" w:before="60" w:line="276"/>
        <w:jc w:val="both"/>
      </w:pPr>
      <w:r>
        <w:rPr>
          <w:rFonts w:ascii="Arial" w:cs="Arial" w:eastAsia="Arial" w:hAnsi="Arial"/>
          <w:color w:val="404040"/>
          <w:sz w:val="22"/>
          <w:szCs w:val="22"/>
        </w:rPr>
        <w:t xml:space="preserve">Obiettivo: 50 utenti selezionati nell'arco di 4 settimane. Canali: LinkedIn del fondatore (reach diretto su network professionale), Twitter/X @openself_dev (thread di lancio beta con call to action), outreach diretto su 3–5 community italiane di freelancer. Criterio di selezione: professionisti che hanno un profilo LinkedIn attivo ma un sito personale obsoleto o assente — il target con il dolore più acuto.</w:t>
      </w:r>
    </w:p>
    <w:p>
      <w:pPr>
        <w:spacing w:after="80" w:before="0"/>
      </w:pPr>
      <w:r>
        <w:t xml:space="preserve"/>
      </w:r>
    </w:p>
    <w:p>
      <w:pPr>
        <w:pStyle w:val="Heading3"/>
        <w:spacing w:after="80" w:before="200"/>
      </w:pPr>
      <w:r>
        <w:rPr>
          <w:rFonts w:ascii="Arial" w:cs="Arial" w:eastAsia="Arial" w:hAnsi="Arial"/>
          <w:b/>
          <w:bCs/>
          <w:color w:val="404040"/>
          <w:sz w:val="22"/>
          <w:szCs w:val="22"/>
        </w:rPr>
        <w:t xml:space="preserve">Protocollo di onboarding e feedback</w:t>
      </w:r>
    </w:p>
    <w:p>
      <w:pPr>
        <w:spacing w:after="100" w:before="60" w:line="276"/>
        <w:jc w:val="both"/>
      </w:pPr>
      <w:r>
        <w:rPr>
          <w:rFonts w:ascii="Arial" w:cs="Arial" w:eastAsia="Arial" w:hAnsi="Arial"/>
          <w:color w:val="404040"/>
          <w:sz w:val="22"/>
          <w:szCs w:val="22"/>
        </w:rPr>
        <w:t xml:space="preserve">Ogni beta user riceve: accesso immediato al prodotto, messaggio di benvenuto personale dal fondatore, invito a una call di 20 minuti dopo 2 settimane di utilizzo. Le call sono strutturate attorno a tre domande: cosa ha funzionato, cosa non ha funzionato, pagheresti €9/mese per questo. I risultati vengono categorizzati e usati come input diretto per l'Agent Brain v2 e per le priorità della Fase 1.</w:t>
      </w:r>
    </w:p>
    <w:p>
      <w:pPr>
        <w:spacing w:after="80" w:before="0"/>
      </w:pPr>
      <w:r>
        <w:t xml:space="preserve"/>
      </w:r>
    </w:p>
    <w:p>
      <w:pPr>
        <w:pStyle w:val="Heading3"/>
        <w:spacing w:after="80" w:before="200"/>
      </w:pPr>
      <w:r>
        <w:rPr>
          <w:rFonts w:ascii="Arial" w:cs="Arial" w:eastAsia="Arial" w:hAnsi="Arial"/>
          <w:b/>
          <w:bCs/>
          <w:color w:val="404040"/>
          <w:sz w:val="22"/>
          <w:szCs w:val="22"/>
        </w:rPr>
        <w:t xml:space="preserve">Criteri di avanzamento alla Fase 1</w:t>
      </w:r>
    </w:p>
    <w:p>
      <w:pPr>
        <w:spacing w:after="100" w:before="60" w:line="276"/>
        <w:jc w:val="both"/>
      </w:pPr>
      <w:r>
        <w:rPr>
          <w:rFonts w:ascii="Arial" w:cs="Arial" w:eastAsia="Arial" w:hAnsi="Arial"/>
          <w:color w:val="404040"/>
          <w:sz w:val="22"/>
          <w:szCs w:val="22"/>
        </w:rPr>
        <w:t xml:space="preserve">La Fase 1 (lancio pubblico e attivazione Pro) si avvia solo se: NPS ≥ 30, retention M+1 degli utenti beta ≥ 35%, almeno 20 utenti su 50 dichiarano intenzione esplicita di pagare €9/mese. Se uno dei tre criteri non è raggiunto, si avvia un ciclo di pivot prima del lancio pubblico.</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6.5 Strategia di Lancio Pubblico (M4–M6)</w:t>
      </w:r>
    </w:p>
    <w:p>
      <w:pPr>
        <w:spacing w:after="60" w:before="0"/>
      </w:pPr>
      <w:r>
        <w:t xml:space="preserve"/>
      </w:r>
    </w:p>
    <w:p>
      <w:pPr>
        <w:pStyle w:val="Heading3"/>
        <w:spacing w:after="80" w:before="200"/>
      </w:pPr>
      <w:r>
        <w:rPr>
          <w:rFonts w:ascii="Arial" w:cs="Arial" w:eastAsia="Arial" w:hAnsi="Arial"/>
          <w:b/>
          <w:bCs/>
          <w:color w:val="404040"/>
          <w:sz w:val="22"/>
          <w:szCs w:val="22"/>
        </w:rPr>
        <w:t xml:space="preserve">Product Hunt</w:t>
      </w:r>
    </w:p>
    <w:p>
      <w:pPr>
        <w:spacing w:after="100" w:before="60" w:line="276"/>
        <w:jc w:val="both"/>
      </w:pPr>
      <w:r>
        <w:rPr>
          <w:rFonts w:ascii="Arial" w:cs="Arial" w:eastAsia="Arial" w:hAnsi="Arial"/>
          <w:color w:val="404040"/>
          <w:sz w:val="22"/>
          <w:szCs w:val="22"/>
        </w:rPr>
        <w:t xml:space="preserve">Product Hunt è il canale di lancio primario per OpenSelf. Un lancio ben preparato genera tipicamente 500–2.000 visitatori unici nel giorno del lancio e 50–300 sign-up, con costo zero. La preparazione include: costruzione di una email list di almeno 200 supporter durante la beta, preparazione di asset visivi della pagina PH, coordinamento per concentrare i voti nelle prime ore (le prime 4 ore determinano il posizionamento giornaliero). Target: top 5 del giorno.</w:t>
      </w:r>
    </w:p>
    <w:p>
      <w:pPr>
        <w:spacing w:after="80" w:before="0"/>
      </w:pPr>
      <w:r>
        <w:t xml:space="preserve"/>
      </w:r>
    </w:p>
    <w:p>
      <w:pPr>
        <w:pStyle w:val="Heading3"/>
        <w:spacing w:after="80" w:before="200"/>
      </w:pPr>
      <w:r>
        <w:rPr>
          <w:rFonts w:ascii="Arial" w:cs="Arial" w:eastAsia="Arial" w:hAnsi="Arial"/>
          <w:b/>
          <w:bCs/>
          <w:color w:val="404040"/>
          <w:sz w:val="22"/>
          <w:szCs w:val="22"/>
        </w:rPr>
        <w:t xml:space="preserve">Referral Program</w:t>
      </w:r>
    </w:p>
    <w:p>
      <w:pPr>
        <w:spacing w:after="100" w:before="60" w:line="276"/>
        <w:jc w:val="both"/>
      </w:pPr>
      <w:r>
        <w:rPr>
          <w:rFonts w:ascii="Arial" w:cs="Arial" w:eastAsia="Arial" w:hAnsi="Arial"/>
          <w:color w:val="404040"/>
          <w:sz w:val="22"/>
          <w:szCs w:val="22"/>
        </w:rPr>
        <w:t xml:space="preserve">Al lancio del tier Pro viene attivato il referral program: ogni utente che porta un amico che si converte in Pro riceve 1 mese gratuito. L'incentivo è autofinanziato (il mese gratuito per il referrer costa ~€0.07 in LLM, non €9 di mancato ricavo, perché l'utente referrato paga comunque). L'obiettivo è un referral ratio di 0.2 (ogni 5 Pro acquisisce 1 nuovo Pro tramite referral) nelle prime 12 settimane di lancio.</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6.6 Metriche GTM e Funnel</w:t>
      </w:r>
    </w:p>
    <w:p>
      <w:pPr>
        <w:spacing w:after="60" w:before="0"/>
      </w:pPr>
      <w:r>
        <w:t xml:space="preserve"/>
      </w:r>
    </w:p>
    <w:p>
      <w:pPr>
        <w:spacing w:after="100" w:before="60" w:line="276"/>
        <w:jc w:val="both"/>
      </w:pPr>
      <w:r>
        <w:rPr>
          <w:rFonts w:ascii="Arial" w:cs="Arial" w:eastAsia="Arial" w:hAnsi="Arial"/>
          <w:color w:val="404040"/>
          <w:sz w:val="22"/>
          <w:szCs w:val="22"/>
        </w:rPr>
        <w:t xml:space="preserve">Il funnel di acquisizione di OpenSelf è semplice: visita → registrazione → onboarding completato → pagina pubblicata → Pro upgrade. Le metriche prioritarie non sono le visite, ma la qualità della conversione in ogni step del funnel.</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1"/>
                <w:szCs w:val="21"/>
              </w:rPr>
              <w:t xml:space="preserve">Metrica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M+3 (beta)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M+12</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M+24</w:t>
            </w:r>
          </w:p>
        </w:tc>
      </w:tr>
      <w:tr>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404040"/>
                <w:sz w:val="20"/>
                <w:szCs w:val="20"/>
              </w:rPr>
              <w:t xml:space="preserve">Visite mensili (stima)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500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5.000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25.000</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404040"/>
                <w:sz w:val="20"/>
                <w:szCs w:val="20"/>
              </w:rPr>
              <w:t xml:space="preserve">Registrazioni mensili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50 (beta)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600</w:t>
            </w:r>
          </w:p>
        </w:tc>
      </w:tr>
      <w:tr>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404040"/>
                <w:sz w:val="20"/>
                <w:szCs w:val="20"/>
              </w:rPr>
              <w:t xml:space="preserve">Onboarding completato (tasso)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80%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70%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65%</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404040"/>
                <w:sz w:val="20"/>
                <w:szCs w:val="20"/>
              </w:rPr>
              <w:t xml:space="preserve">Pagina pubblicata (tasso su reg.)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90%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85%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80%</w:t>
            </w:r>
          </w:p>
        </w:tc>
      </w:tr>
      <w:tr>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404040"/>
                <w:sz w:val="20"/>
                <w:szCs w:val="20"/>
              </w:rPr>
              <w:t xml:space="preserve">Conversion free → Pro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0% (beta)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10%</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404040"/>
                <w:sz w:val="20"/>
                <w:szCs w:val="20"/>
              </w:rPr>
              <w:t xml:space="preserve">Retention M+1 (utenti attivi)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35%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55%</w:t>
            </w:r>
          </w:p>
        </w:tc>
      </w:tr>
      <w:tr>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404040"/>
                <w:sz w:val="20"/>
                <w:szCs w:val="20"/>
              </w:rPr>
              <w:t xml:space="preserve">CAC medio (Pro)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€15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€20</w:t>
            </w:r>
          </w:p>
        </w:tc>
      </w:tr>
      <w:tr>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404040"/>
                <w:sz w:val="20"/>
                <w:szCs w:val="20"/>
              </w:rPr>
              <w:t xml:space="preserve">NPS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30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404040"/>
                <w:sz w:val="20"/>
                <w:szCs w:val="20"/>
              </w:rPr>
              <w:t xml:space="preserve">≥ 45</w:t>
            </w:r>
          </w:p>
        </w:tc>
      </w:tr>
    </w:tbl>
    <w:p>
      <w:pPr>
        <w:spacing w:after="100" w:before="0"/>
      </w:pPr>
      <w:r>
        <w:t xml:space="preserve"/>
      </w:r>
    </w:p>
    <w:p>
      <w:pPr>
        <w:spacing w:after="100" w:before="60" w:line="276"/>
        <w:jc w:val="both"/>
      </w:pPr>
      <w:r>
        <w:rPr>
          <w:rFonts w:ascii="Arial" w:cs="Arial" w:eastAsia="Arial" w:hAnsi="Arial"/>
          <w:color w:val="404040"/>
          <w:sz w:val="22"/>
          <w:szCs w:val="22"/>
        </w:rPr>
        <w:t xml:space="preserve">Il tasso di conversione free→Pro del 10% è conservativo rispetto ai benchmark SaaS freemium (media di settore: 2–8% per prodotti consumer, 10–25% per prodotti B2B con valore professionale chiaro). OpenSelf si posiziona nel segmento professionale con un caso d'uso ad alta urgenza per il target freelancer, il che sostiene una conversion rate nella parte alta del range.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6"/>
              <w:left w:val="single" w:color="1E5631" w:sz="12"/>
              <w:bottom w:val="single" w:color="CCCCCC" w:sz="1"/>
              <w:right w:val="single" w:color="CCCCCC" w:sz="1"/>
            </w:tcBorders>
            <w:shd w:fill="D9EAD3" w:val="clear"/>
            <w:tcMar>
              <w:top w:type="dxa" w:w="120"/>
              <w:left w:type="dxa" w:w="200"/>
              <w:bottom w:type="dxa" w:w="120"/>
              <w:right w:type="dxa" w:w="160"/>
            </w:tcMar>
          </w:tcPr>
          <w:p>
            <w:pPr>
              <w:spacing w:after="60" w:before="0"/>
            </w:pPr>
            <w:r>
              <w:rPr>
                <w:rFonts w:ascii="Arial" w:cs="Arial" w:eastAsia="Arial" w:hAnsi="Arial"/>
                <w:b/>
                <w:bCs/>
                <w:color w:val="1E5631"/>
                <w:sz w:val="20"/>
                <w:szCs w:val="20"/>
              </w:rPr>
              <w:t xml:space="preserve">Traction attuale (Marzo 2026)</w:t>
            </w:r>
          </w:p>
          <w:p>
            <w:pPr>
              <w:spacing w:after="0" w:before="0"/>
              <w:jc w:val="both"/>
            </w:pPr>
            <w:r>
              <w:rPr>
                <w:rFonts w:ascii="Arial" w:cs="Arial" w:eastAsia="Arial" w:hAnsi="Arial"/>
                <w:color w:val="404040"/>
                <w:sz w:val="22"/>
                <w:szCs w:val="22"/>
              </w:rPr>
              <w:t xml:space="preserve">Prodotto live e accessibile su openself.dev. Account Twitter/X @openself_dev attivo. Repository GitHub pubblico. La beta non è ancora stata lanciata formalmente — il canale @openself_dev e il network professionale del fondatore rappresentano il punto di partenza per il recruitment dei primi 50 utenti. Nessuna spesa di marketing effettuata alla data di redazione del piano.</w:t>
            </w:r>
          </w:p>
        </w:tc>
      </w:tr>
    </w:tbl>
    <w:p>
      <w:pPr>
        <w:spacing w:after="200" w:before="0"/>
      </w:pPr>
      <w:r>
        <w:t xml:space="preserve"/>
      </w:r>
    </w:p>
    <w:p>
      <w:pPr>
        <w:pBdr>
          <w:top w:val="single" w:color="CCCCCC" w:sz="4" w:space="8"/>
        </w:pBdr>
        <w:spacing w:after="0" w:before="0"/>
      </w:pPr>
      <w:r>
        <w:rPr>
          <w:rFonts w:ascii="Arial" w:cs="Arial" w:eastAsia="Arial" w:hAnsi="Arial"/>
          <w:i/>
          <w:iCs/>
          <w:color w:val="AAAAAA"/>
          <w:sz w:val="16"/>
          <w:szCs w:val="16"/>
        </w:rPr>
        <w:t xml:space="preserve">OpenSelf — Piano d'Impresa | Sezione 6: Go-to-Market e Traction | Documento riservato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2026-03-12T15:32:01.559Z</dcterms:created>
  <dcterms:modified xsi:type="dcterms:W3CDTF">2026-03-12T15:32:01.560Z</dcterms:modified>
</cp:coreProperties>
</file>

<file path=docProps/custom.xml><?xml version="1.0" encoding="utf-8"?>
<Properties xmlns="http://schemas.openxmlformats.org/officeDocument/2006/custom-properties" xmlns:vt="http://schemas.openxmlformats.org/officeDocument/2006/docPropsVTypes"/>
</file>