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Modello di Business e Piano Finanziario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Strategia di Pricing — Perché Iniziare Basso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scelta del prezzo iniziale non è guidata dalla massimizzazione del margine — i margini lordi unitari sono ottimi anche a €2,99/mese — ma dalla minimizzazione della barriera psicologica alla prima conversione. OpenSelf è un prodotto nuovo, senza recensioni consolidate, senza community visibile. Chiedere €9/mese competendo direttamente con Linktree Pro (brand da 50 milioni di utenti, validato da anni) sarebbe un errore che penalizzerebbe la crescita della base utenti nella fase più critica.</w:t>
      </w:r>
    </w:p>
    <w:p>
      <w:pPr>
        <w:spacing w:after="8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punto di riferimento del mercato è eloquente: Carrd Pro Standard — il principale concorrente per siti personali statici — costa €1,58/mese (€19/anno) e non include alcuna intelligenza artificiale. L'utente che paga oggi per un tool di personal branding è abituato a prezzi annuali, non mensili. OpenSelf offre qualcosa di radicalmente diverso, ma questa percezione di valore si costruisce nel tempo, con l'uso. Il pricing basso iniziale è il meccanismo che permette agli utenti di scoprire il valore prima di chiedergli di pagare di più.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Prezzo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sblocca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Free (permanente)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Onboarding AI, generazione pagina, aggiornamento manuale via agente, 2 connettori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Chiunque voglia provare senza rischi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Founding 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€2,99/mese  o  €19,99/anno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Heartbeat automatico settimanale, connettori illimitati, rimozione branding OpenSelf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Primi 200 utenti — prezzo early believer, mai più disponibile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€5,99/mese  o  €39,99/anno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Come Founding + dominio personalizzato, priorità routing LLM, analytics avanzate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 user 201+ o da M+13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Pro+ Coach (Anno 3+)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€14,99/mese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Interazione quotidiana come coach di carriera, heartbeat giornaliero, 6+ connettori, analisi proattiva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Professionisti che vogliono un coach AI permanente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235A" w:sz="6"/>
              <w:left w:val="single" w:color="4A235A" w:sz="12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Logica Founding Pro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Il tier Founding Pro (€2,99/mese) non è un'offerta promozionale generica — è una membership con identità. I primi 200 utenti che credono nel prodotto prima che il mercato lo validi. La comunicazione è esplicita: questo prezzo non tornerà. La scarsità è reale (cap a 200 slot). L'obiettivo non è massimizzare i ricavi di questi 200 utenti, ma trasformarli in ambassador che portano i successivi 1.800 utenti al prezzo Pro standard.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Unit Economics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 costi variabili per utente Pro sono stati calcolati sui token reali generati in un mese di utilizzo tipico: 4 sessioni da 15 turni + heartbeat 4× settimanale + 4 connettori attivi. Prezzi Haiku 4.5 con prompt caching (cache read = 10%) e Batch API (-50%) per i job heartbeat. Cambio €/$ = 0,92.</w:t>
      </w:r>
    </w:p>
    <w:p>
      <w:pPr>
        <w:spacing w:after="100" w:before="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00"/>
        <w:gridCol w:w="1600"/>
        <w:gridCol w:w="1526"/>
        <w:gridCol w:w="17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Prezzo mensile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variabile / MAU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Margine lordo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LTV 12 mesi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Payback CAC €10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Founding Pro (mensile)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€2,99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€0,46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€2,53  (85%)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~€26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mesi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Founding Pro (annuale, effettivo)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€1,67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€0,46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€1,21  (72%)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~€14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mesi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 Standard (mensile)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€5,99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€0,46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€5,53  (92%)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~€52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mesi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 Standard (annuale, effettivo)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€3,33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€0,46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€2,87  (86%)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~€29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3,5 mesi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Pro+ Coach (mensile)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€14,99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€4,56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€10,43  (70%)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~€130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mese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6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Nota sul margine Anno 1 (27%)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Il margine lordo basso nel primo anno non segnala un modello rotto: riflette che ci sono soli 20 Pro su 200 registrati mentre i costi variabili includono tutti i free MAU. A regime (Anno 3), con 330 Pro su 2.000 registrati, il margine risale al 77% — strutturalmente sano per un SaaS verticale. Il costo del tier free è sostenibile perché ogni utente Pro copre i costi LLM di circa 9 utenti free.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Modello di Costo LLM — Dati Reali per Operazione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 costi LLM sono stati calcolati operazione per operazione per evitare stime ottimistiche. Ogni voce è verificata sull'architettura attuale: system prompt ~4.500 token, history media 3.000 token fresh per sessione, output ~500 token per turno.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000"/>
        <w:gridCol w:w="2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(cached + fresh)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Singolo turno conversazione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4.500 cache + ~1.500 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€0,004/turn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Onboarding completo (20 turni + gen. pagina)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~75K cache + ~20K fresh totali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~13K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€0,161 one-time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Sessione tipica (15 turni)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~67K cache + ~22K 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~7.500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€0,082/sessione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Heartbeat leggero (Batch API, -50%)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4.500 cache + 2.500 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€0,003/run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Heartbeat profondo (Batch API, -50%)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4.500 cache + 6.000 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€0,009/run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Update connettore (Batch API, -50%)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1.000 cache + 3.500 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€0,004/run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UTENTE FREE ATTIVO / mese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sessioni + 4× heartbeat + 2 conn. × 4 sett.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€0,21/mese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UTENTE PRO ATTIVO / mese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sessioni + 4× heartbeat light + 1× deep + 4 conn. × 4 sett.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€0,43/mese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PRO+ COACH / mese (Anno 3+)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 turni/gg × 30 gg + 6 conn. + heartbeat giornaliero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~€4,53/mese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Proiezioni Economico-Finanziarie a 3 Anni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proiezioni seguono ipotesi deliberatamente conservative: nessun effetto virale, conversion free→Pro al 10%, retention annua al 72%. I ricavi Anno 1 sono bassi per scelta: la beta gratuita dura M1–M9, il lancio Pro avviene in Q4. Il triennio è progettato per validare il prodotto con una base utenti reale, non per raggiungere profittabilità autonoma (obiettivo Anno 4).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600"/>
        <w:gridCol w:w="18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RICAVO / VOCE DI COSTO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 1 (2026)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 2 (2027)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 3 (2028)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Founding Pro (avg annuo, eff. €2,46/mo)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 Standard (avg annuo, eff. €4,93/mo)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Pro+ Coach @€14,99/mo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Ricavo mensile (mix tier)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€1.682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TOTALE RICAVI ANNUI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€590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€4.136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€20.180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COSTI VARIABILI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LLM — utenti free (MAU)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€302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€965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LLM — utenti Pro (MAU)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€425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€1.546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LLM — utenti Coach (MAU)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€1.149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Infrastruttura Hetzner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Strumenti SaaS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€480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TOTALE COSTI VARIABILI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€431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€1.243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€4.740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MARGINE LORDO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20"/>
                <w:szCs w:val="20"/>
              </w:rPr>
              <w:t xml:space="preserve">€160 (27%)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20"/>
                <w:szCs w:val="20"/>
              </w:rPr>
              <w:t xml:space="preserve">€2.893 (70%)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20"/>
                <w:szCs w:val="20"/>
              </w:rPr>
              <w:t xml:space="preserve">€15.441 (77%)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COSTI FISSI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Stipendio CEO (fondatore SRLS)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€18.000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€21.600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€24.000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Collaboratore tecnico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€12.000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€24.000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Legale / Commercialista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€2.400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€3.000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€3.600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Marketing e contenuti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€2.400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€4.800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TOTALE COSTI FISSI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€21.000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€39.000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€56.400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EBIT (ante imposte / Smart&amp;Start)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4F00"/>
                <w:sz w:val="20"/>
                <w:szCs w:val="20"/>
              </w:rPr>
              <w:t xml:space="preserve">-€20.840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4F00"/>
                <w:sz w:val="20"/>
                <w:szCs w:val="20"/>
              </w:rPr>
              <w:t xml:space="preserve">-€36.107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4F00"/>
                <w:sz w:val="20"/>
                <w:szCs w:val="20"/>
              </w:rPr>
              <w:t xml:space="preserve">-€40.959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20"/>
                <w:szCs w:val="20"/>
              </w:rPr>
              <w:t xml:space="preserve">Utilizzo finanziamento Smart&amp;Start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+€20.840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+€36.107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+€40.959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RISULTATO NETTO GESTIONALE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≈ €0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≈ €0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≈ €0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crescita del margine lordo dal 27% (Anno 1) al 77% (Anno 3) è strutturale: ogni utente Pro aggiunto diluisce il costo fisso degli utenti free. Il deficit annuale coperto da Smart&amp;Start cresce in valore assoluto per via della crescita del team (contractor da Anno 2), ma rimane interamente coperto dal finanziamento.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Infrastruttura — Piano di Scaling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costo infrastrutturale scala in modo discontinuo e prevedibile. Il bottleneck non è la banda di rete ma la contesa in scrittura tra il worker heartbeat e il server web su SQLite. La migrazione a PostgreSQL è necessaria prima dei 1.500 MAU ma rimane un'operazione standard; il resto scala verticalmente su Hetzner a costi contenuti.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400"/>
        <w:gridCol w:w="1200"/>
        <w:gridCol w:w="2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Utenti registrati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 stimati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Costo/mese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critica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0–300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0–75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Hetzner CX22 — €3,99/mese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€4–10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Nessuna. App + worker + SQLite sullo stesso server.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300–1.500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75–375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Hetzner CX32 — €6,80/mese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€15–25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Migrazione SQLite→PostgreSQL consigliata a ~200 MAU.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1.500–5.000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375–1.250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CX42 (€16,40) + CX22 worker (€3,99)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€25–40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Separazione app server e worker. PostgreSQL obbligatorio.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5.000–15.000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1.250–3.750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CX52 (€32,40) + CX32 worker (€6,80) + managed DB (€20)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€60–85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Managed PostgreSQL (Hetzner DBaaS) per backup automatici.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Prezzi post-aprile 2026 (Hetzner ha annunciato un aumento del 30–37% sulle istanze cloud a partire dal 1° aprile 2026, già incorporato nei valori sopra).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Piano di Utilizzo del Finanziamento Smart&amp;Start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finanziamento Smart&amp;Start copre l'80% delle spese ammissibili nel triennio. La principale voce di costo è il personale (CEO + collaboratore tecnico), non la tecnologia. I costi LLM e infrastrutturali sono inclusi nella categoria tecnologie e licenze in quanto costi diretti di erogazione del servizio.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300"/>
        <w:gridCol w:w="23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di spesa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Personale — CEO (stipendio SRLS)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€18.000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€21.600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€24.000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€63.600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Personale — Collaboratore tecnico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€12.000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€24.000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€36.000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Legale / Commercialista /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€2.400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€3.000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€3.600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€9.000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LLM API (Haiku 4.5, costi effettivi)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€431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€1.243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€4.740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€6.414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Infrastruttura Hetzner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€876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Strumenti SaaS (Sentry, CDN, email)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€1.800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€2.400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€3.000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€7.200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Marketing e contenuti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€2.400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€4.800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€7.800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TOTALE SPESE AMMISSIBILI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€23.291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€42.859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€64.740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€130.890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20"/>
                <w:szCs w:val="20"/>
              </w:rPr>
              <w:t xml:space="preserve">Finanziamento Smart&amp;Start (80%)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20"/>
                <w:szCs w:val="20"/>
              </w:rPr>
              <w:t xml:space="preserve">€18.633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20"/>
                <w:szCs w:val="20"/>
              </w:rPr>
              <w:t xml:space="preserve">€34.287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20"/>
                <w:szCs w:val="20"/>
              </w:rPr>
              <w:t xml:space="preserve">€51.792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5631"/>
                <w:sz w:val="20"/>
                <w:szCs w:val="20"/>
              </w:rPr>
              <w:t xml:space="preserve">€104.712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4F00"/>
                <w:sz w:val="20"/>
                <w:szCs w:val="20"/>
              </w:rPr>
              <w:t xml:space="preserve">Cofinanziamento fondatore (20%)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4F00"/>
                <w:sz w:val="20"/>
                <w:szCs w:val="20"/>
              </w:rPr>
              <w:t xml:space="preserve">€4.658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4F00"/>
                <w:sz w:val="20"/>
                <w:szCs w:val="20"/>
              </w:rPr>
              <w:t xml:space="preserve">€8.572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4F00"/>
                <w:sz w:val="20"/>
                <w:szCs w:val="20"/>
              </w:rPr>
              <w:t xml:space="preserve">€12.948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4F00"/>
                <w:sz w:val="20"/>
                <w:szCs w:val="20"/>
              </w:rPr>
              <w:t xml:space="preserve">€26.178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Rimborso: ~€13.089/anno in 8 anni, a tasso zero. Il target ricavi Anno 4 (600 Pro + 80 Coach ≈ €55.000 ARR) è sufficiente a coprire il rimborso e i costi operativi senza ulteriore finanziamento esterno.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Analisi del Punto di Pareggio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Il break-even operativo richiede un numero di utenti Pro più elevato rispetto a un pricing a €9/mese — questo è il trade-off consapevole della strategia. Si ottimizza per la crescita della base utenti e la validazione del prodotto, non per la profittabilità anticipata. La maggiore adozione nella fase iniziale produce più dati, più feedback, un prodotto migliore — e quindi una retention più alta e un pricing power maggiore a regime.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Costi fissi mensili a regime (Anno 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CEO €2.000 + contractor €2.000 + tools €100 + legale/mktg €400 = €4.500/mese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Contribuzione media per Pro (mix 100 Founding + 200 std)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 eff. €4,22 − costo €0,46 = €3,76/utente/mese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Utenti Pro per break-even (solo tier Pro)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€4.500 / €3,76 ≈ 1.196 utenti Pro — target M+36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 mix Pro + Coach (100 Founding + 400 Pro + 100 Coach)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 media ponderata €7,46 → break-even a 603 utenti — M+30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Sensibilità pricing: Pro da €5,99 a €6,99 da M+18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Break-even scende a ~900 utenti — M+33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Scenario ribassista (metà degli utenti previsti)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Deficit mensile ~€2.250 — coperto dal fondo Smart&amp;Start residuo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5631" w:sz="6"/>
              <w:left w:val="single" w:color="1E5631" w:sz="12"/>
              <w:bottom w:val="single" w:color="CCCCCC" w:sz="1"/>
              <w:right w:val="single" w:color="CCCCCC" w:sz="1"/>
            </w:tcBorders>
            <w:shd w:fill="D9EAD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Percorso verso la sostenibilità post-finanziamento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La strategia di pricing basso nei primi 12–18 mesi è un investimento in adozione, non una rinuncia al valore. Il piano prevede un aumento del tier Pro da €5,99 a €6,99 a M+18 (comunicato con 60 giorni di anticipo, con opzione lock-in annuale all'attuale prezzo per gli utenti attivi). L'introduzione del tier Pro+ Coach (€14,99/mese) da Anno 3 sposta verso l'alto il ricavo medio per utente senza richiedere nuovi utenti. Il break-even operativo è raggiungibile tra M+30 e M+36 a seconda del mix di tier — interamente coperto dal finanziamento Smart&amp;Start.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7.8 Evoluzione del Prodotto: Pro+ Coach Mode</w:t>
      </w:r>
    </w:p>
    <w:p>
      <w:pPr>
        <w:spacing w:after="60" w:before="0"/>
      </w:pPr>
      <w:r>
        <w:t xml:space="preserve"/>
      </w:r>
    </w:p>
    <w:p>
      <w:pPr>
        <w:spacing w:after="100" w:before="60" w:line="276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partire dall'Anno 3, la roadmap prevede l'evoluzione dell'agente da assistente di aggiornamento a coach di carriera proattivo. L'agente commenta i nuovi progetti pubblicati, propone aggiornamenti alla narrativa professionale, analizza le tendenze del mercato del lavoro rispetto al profilo dell'utente, e suggerisce azioni concrete per rafforzare il personal brand. Questa evoluzione non richiede un'architettura nuova — memoria a tre livelli, Soul Profile e connettori sono già le fondamenta — ma un modello LLM con capacità di ragionamento superiori e una frequenza di heartbeat più alta.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Pro+ Coach (Anno 3+)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Frequenza interazione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Settimanale (4 sessioni/mese)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Quotidiana (20+ turni/giorno)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Reattiva — utente chiede, agente risponde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Proattiva — agente propone, utente approva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Connettori attivi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Illimitati, tipicamente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6+ con monitoraggio continuo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Heartbeat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Settimanale light + mensile deep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Giornaliero con analisi trend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Costo LLM/mese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~€0,43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~€4,53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Prezzo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€5,99/mese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€14,99/mese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Margine lordo unitario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€5,53 (92%)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€10,43 (70%)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CCCCCC" w:sz="4" w:space="8"/>
        </w:pBdr>
        <w:spacing w:after="0" w:before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OpenSelf — Piano d'Impresa | Sezione 7: Modello di Business e Piano Finanziario | Documento riservato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2026-03-12T16:04:22.880Z</dcterms:created>
  <dcterms:modified xsi:type="dcterms:W3CDTF">2026-03-12T16:04:22.881Z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