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00" w:before="400"/>
      </w:pPr>
      <w:r>
        <w:rPr>
          <w:rFonts w:ascii="Arial" w:cs="Arial" w:eastAsia="Arial" w:hAnsi="Arial"/>
          <w:b/>
          <w:bCs/>
          <w:color w:val="1F4E79"/>
          <w:sz w:val="32"/>
          <w:szCs w:val="32"/>
        </w:rPr>
        <w:t xml:space="preserve">9. Analisi dei Rischi e Mitigazioni</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2E75B6"/>
                <w:sz w:val="20"/>
                <w:szCs w:val="20"/>
              </w:rPr>
              <w:t xml:space="preserve">Approccio all'analisi dei rischi</w:t>
            </w:r>
          </w:p>
          <w:p>
            <w:pPr>
              <w:spacing w:after="0" w:before="0"/>
              <w:jc w:val="both"/>
            </w:pPr>
            <w:r>
              <w:rPr>
                <w:rFonts w:ascii="Arial" w:cs="Arial" w:eastAsia="Arial" w:hAnsi="Arial"/>
                <w:color w:val="404040"/>
                <w:sz w:val="22"/>
                <w:szCs w:val="22"/>
              </w:rPr>
              <w:t xml:space="preserve">OpenSelf è un progetto a fondatore singolo in fase pre-revenue. I rischi principali non sono tecnologici — il prodotto funziona — ma operativi e di mercato. L'analisi che segue identifica i rischi reali e le mitigazioni concrete, senza minimizzare le vulnerabilità strutturali della fase iniziale.</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9.1 Mappa dei Rischi</w:t>
      </w:r>
    </w:p>
    <w:p>
      <w:pPr>
        <w:spacing w:after="60" w:before="0"/>
      </w:pPr>
      <w:r>
        <w:t xml:space="preserve"/>
      </w:r>
    </w:p>
    <w:p>
      <w:pPr>
        <w:spacing w:after="100" w:before="60" w:line="276"/>
        <w:jc w:val="both"/>
      </w:pPr>
      <w:r>
        <w:rPr>
          <w:rFonts w:ascii="Arial" w:cs="Arial" w:eastAsia="Arial" w:hAnsi="Arial"/>
          <w:color w:val="404040"/>
          <w:sz w:val="22"/>
          <w:szCs w:val="22"/>
        </w:rPr>
        <w:t xml:space="preserve">La seguente tabella sintetizza i rischi identificati per categoria, livello di esposizione e strategia di mitigazione adottata o pianificata.</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100"/>
        <w:gridCol w:w="4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Categoria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Rischio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Livello</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Mitigazione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Operativo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Dipendenza dal fondatore singolo</w:t>
            </w:r>
          </w:p>
          <w:p>
            <w:pPr>
              <w:spacing w:after="0" w:before="40"/>
            </w:pPr>
            <w:r>
              <w:rPr>
                <w:rFonts w:ascii="Arial" w:cs="Arial" w:eastAsia="Arial" w:hAnsi="Arial"/>
                <w:i/>
                <w:iCs/>
                <w:color w:val="666666"/>
                <w:sz w:val="18"/>
                <w:szCs w:val="18"/>
              </w:rPr>
              <w:t xml:space="preserve">Malattia, burnout, o cambio di priorità blocca l'intero progetto</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7B241C"/>
                <w:sz w:val="19"/>
                <w:szCs w:val="19"/>
              </w:rPr>
              <w:t xml:space="preserve">ALTO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Codebase completamente documentata (ARCHITECTURE.md, ADR, CLAUDE.md). Test coverage &gt;85% garantisce continuità. Roadmap pubblica e piano di onboarding per eventuali collaboratori. Advisory board previsto entro M+3 per ridurre l'isolamento decisionale. La partecipazione a un programma di incubazione (es. CDP Venture Lab) può accelerare la costruzione del network.</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Mercato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Mancata validazione del product-market fit</w:t>
            </w:r>
          </w:p>
          <w:p>
            <w:pPr>
              <w:spacing w:after="0" w:before="40"/>
            </w:pPr>
            <w:r>
              <w:rPr>
                <w:rFonts w:ascii="Arial" w:cs="Arial" w:eastAsia="Arial" w:hAnsi="Arial"/>
                <w:i/>
                <w:iCs/>
                <w:color w:val="666666"/>
                <w:sz w:val="18"/>
                <w:szCs w:val="18"/>
              </w:rPr>
              <w:t xml:space="preserve">I 50 utenti beta non confermano la proposta di valore o la retention è troppo bassa</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7B241C"/>
                <w:sz w:val="19"/>
                <w:szCs w:val="19"/>
              </w:rPr>
              <w:t xml:space="preserve">ALTO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Gate esplicito: se NPS &lt; 30 a M+3 o retention M+1 &lt; 30%, il fondatore non investe risorse aggiuntive prima di un ciclo di pivot. Interviste qualitative strutturate con ogni utente beta nelle prime 4 settimane. Costo marginale della fase beta è quasi zero: nessun rischio finanziario rilevante in caso di pivot.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Competitivo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Entrata di un player grande (LinkedIn, Wix, Notion)</w:t>
            </w:r>
          </w:p>
          <w:p>
            <w:pPr>
              <w:spacing w:after="0" w:before="40"/>
            </w:pPr>
            <w:r>
              <w:rPr>
                <w:rFonts w:ascii="Arial" w:cs="Arial" w:eastAsia="Arial" w:hAnsi="Arial"/>
                <w:i/>
                <w:iCs/>
                <w:color w:val="666666"/>
                <w:sz w:val="18"/>
                <w:szCs w:val="18"/>
              </w:rPr>
              <w:t xml:space="preserve">Un competitor lancia una funzionalità simile con distribuzione massiva</w:t>
            </w:r>
          </w:p>
        </w:tc>
        <w:tc>
          <w:tcPr>
            <w:tcW w:type="dxa" w:w="11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jc w:val="center"/>
            </w:pPr>
            <w:r>
              <w:rPr>
                <w:rFonts w:ascii="Arial" w:cs="Arial" w:eastAsia="Arial" w:hAnsi="Arial"/>
                <w:b/>
                <w:bCs/>
                <w:color w:val="7F4F00"/>
                <w:sz w:val="19"/>
                <w:szCs w:val="19"/>
              </w:rPr>
              <w:t xml:space="preserve">MEDIO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I grandi player hanno cicli di sviluppo lunghi e non possono convergere su questo posizionamento senza cannibalizzare il core business. Il vantaggio di OpenSelf non è nella funzionalità singola ma nell'integrazione: memoria + connettori + heartbeat + soul profile è difficile da replicare rapidamente. Focus su nicchie verticali (freelancer italiani) dove i grandi player non competono con la stessa intensità.</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Tecnologico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Aumento dei costi LLM o discontinuità di un provider</w:t>
            </w:r>
          </w:p>
          <w:p>
            <w:pPr>
              <w:spacing w:after="0" w:before="40"/>
            </w:pPr>
            <w:r>
              <w:rPr>
                <w:rFonts w:ascii="Arial" w:cs="Arial" w:eastAsia="Arial" w:hAnsi="Arial"/>
                <w:i/>
                <w:iCs/>
                <w:color w:val="666666"/>
                <w:sz w:val="18"/>
                <w:szCs w:val="18"/>
              </w:rPr>
              <w:t xml:space="preserve">Un provider aumenta i prezzi o rimuove l'accesso API</w:t>
            </w:r>
          </w:p>
        </w:tc>
        <w:tc>
          <w:tcPr>
            <w:tcW w:type="dxa" w:w="11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jc w:val="center"/>
            </w:pPr>
            <w:r>
              <w:rPr>
                <w:rFonts w:ascii="Arial" w:cs="Arial" w:eastAsia="Arial" w:hAnsi="Arial"/>
                <w:b/>
                <w:bCs/>
                <w:color w:val="7F4F00"/>
                <w:sz w:val="19"/>
                <w:szCs w:val="19"/>
              </w:rPr>
              <w:t xml:space="preserve">MEDIO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Routing multi-provider già implementato (Anthropic, OpenAI, Google, Ollama): fallback automatico se un provider non è disponibile. Ottimizzazione costi per tier di task: modelli economici per task leggeri, premium solo per generazione. Il costo LLM stimato a regime (Gemini Flash) è &lt;€0.05/utente/mese nel tier free — ampio margine prima che diventi critico.</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Legale/HR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Mancata autorizzazione CDP per attività parallela</w:t>
            </w:r>
          </w:p>
          <w:p>
            <w:pPr>
              <w:spacing w:after="0" w:before="40"/>
            </w:pPr>
            <w:r>
              <w:rPr>
                <w:rFonts w:ascii="Arial" w:cs="Arial" w:eastAsia="Arial" w:hAnsi="Arial"/>
                <w:i/>
                <w:iCs/>
                <w:color w:val="666666"/>
                <w:sz w:val="18"/>
                <w:szCs w:val="18"/>
              </w:rPr>
              <w:t xml:space="preserve">CDP HR/Compliance nega l'autorizzazione per la costituzione dell'SRLS</w:t>
            </w:r>
          </w:p>
        </w:tc>
        <w:tc>
          <w:tcPr>
            <w:tcW w:type="dxa" w:w="11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jc w:val="center"/>
            </w:pPr>
            <w:r>
              <w:rPr>
                <w:rFonts w:ascii="Arial" w:cs="Arial" w:eastAsia="Arial" w:hAnsi="Arial"/>
                <w:b/>
                <w:bCs/>
                <w:color w:val="7F4F00"/>
                <w:sz w:val="19"/>
                <w:szCs w:val="19"/>
              </w:rPr>
              <w:t xml:space="preserve">MEDIO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Il processo di autorizzazione è avviato in parallelo alla beta gratuita, prima di qualsiasi monetizzazione. In caso di diniego, il progetto rimane nella fase beta gratuita fino alla risoluzione (es. negoziazione di un part-time, dimissioni volontarie dopo validazione). Nessun impegno finanziario assunto prima dell'autorizzazione.</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Tecnologico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Comportamento inaffidabile dell'agente LLM</w:t>
            </w:r>
          </w:p>
          <w:p>
            <w:pPr>
              <w:spacing w:after="0" w:before="40"/>
            </w:pPr>
            <w:r>
              <w:rPr>
                <w:rFonts w:ascii="Arial" w:cs="Arial" w:eastAsia="Arial" w:hAnsi="Arial"/>
                <w:i/>
                <w:iCs/>
                <w:color w:val="666666"/>
                <w:sz w:val="18"/>
                <w:szCs w:val="18"/>
              </w:rPr>
              <w:t xml:space="preserve">Conflitti nel system prompt generano risposte false o incomplete</w:t>
            </w:r>
          </w:p>
        </w:tc>
        <w:tc>
          <w:tcPr>
            <w:tcW w:type="dxa" w:w="11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pPr>
              <w:jc w:val="center"/>
            </w:pPr>
            <w:r>
              <w:rPr>
                <w:rFonts w:ascii="Arial" w:cs="Arial" w:eastAsia="Arial" w:hAnsi="Arial"/>
                <w:b/>
                <w:bCs/>
                <w:color w:val="7F4F00"/>
                <w:sz w:val="19"/>
                <w:szCs w:val="19"/>
              </w:rPr>
              <w:t xml:space="preserve">MEDIO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Problema identificato e mappato con precisione (3 failure mode concreti). Fix in corso nel ciclo Agent Brain v2 con approccio eval-driven: raccolta trace → classificazione failure → test deterministici → iterazione su system prompt. Infrastruttura eval cross-provider già operativa.</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Regolatorio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Evoluzione normativa AI Act / GDPR</w:t>
            </w:r>
          </w:p>
          <w:p>
            <w:pPr>
              <w:spacing w:after="0" w:before="40"/>
            </w:pPr>
            <w:r>
              <w:rPr>
                <w:rFonts w:ascii="Arial" w:cs="Arial" w:eastAsia="Arial" w:hAnsi="Arial"/>
                <w:i/>
                <w:iCs/>
                <w:color w:val="666666"/>
                <w:sz w:val="18"/>
                <w:szCs w:val="18"/>
              </w:rPr>
              <w:t xml:space="preserve">Nuovi obblighi di conformità per sistemi AI che gestiscono dati personali</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7D6608"/>
                <w:sz w:val="19"/>
                <w:szCs w:val="19"/>
              </w:rPr>
              <w:t xml:space="preserve">BASSO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OpenSelf è posizionato favorevolmente: architettura privacy-by-design, dati in Europa, nessun trattamento automatizzato con effetti giuridici. L'AI Act classifica i sistemi di personal branding come rischio limitato o minimo. Monitoraggio continuo delle linee guida dell'AI Office europeo. La conformità è un vantaggio competitivo, non un costo.</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Finanziario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Runway esaurito prima della validazione</w:t>
            </w:r>
          </w:p>
          <w:p>
            <w:pPr>
              <w:spacing w:after="0" w:before="40"/>
            </w:pPr>
            <w:r>
              <w:rPr>
                <w:rFonts w:ascii="Arial" w:cs="Arial" w:eastAsia="Arial" w:hAnsi="Arial"/>
                <w:i/>
                <w:iCs/>
                <w:color w:val="666666"/>
                <w:sz w:val="18"/>
                <w:szCs w:val="18"/>
              </w:rPr>
              <w:t xml:space="preserve">I costi (infrastruttura, LLM, tools) superano le disponibilità del fondatore</w:t>
            </w:r>
          </w:p>
        </w:tc>
        <w:tc>
          <w:tcPr>
            <w:tcW w:type="dxa" w:w="1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7D6608"/>
                <w:sz w:val="19"/>
                <w:szCs w:val="19"/>
              </w:rPr>
              <w:t xml:space="preserve">BASSO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color w:val="404040"/>
                <w:sz w:val="19"/>
                <w:szCs w:val="19"/>
              </w:rPr>
              <w:t xml:space="preserve">I costi operativi in fase beta sono &lt;€200/mese totali. Il fondatore ha un reddito da lavoro dipendente (CDP) che copre i costi di vita. Il finanziamento Smart&amp;Start, se concesso, copre le spese ammissibili del piano triennale. Il rischio finanziario in questa fase è strutturalmente contenuto.</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9.2 Analisi Approfondita dei Rischi Principali</w:t>
      </w:r>
    </w:p>
    <w:p>
      <w:pPr>
        <w:spacing w:after="60" w:before="0"/>
      </w:pPr>
      <w:r>
        <w:t xml:space="preserve"/>
      </w:r>
    </w:p>
    <w:p>
      <w:pPr>
        <w:pStyle w:val="Heading3"/>
        <w:spacing w:after="80" w:before="200"/>
      </w:pPr>
      <w:r>
        <w:rPr>
          <w:rFonts w:ascii="Arial" w:cs="Arial" w:eastAsia="Arial" w:hAnsi="Arial"/>
          <w:b/>
          <w:bCs/>
          <w:color w:val="404040"/>
          <w:sz w:val="22"/>
          <w:szCs w:val="22"/>
        </w:rPr>
        <w:t xml:space="preserve">Rischio prioritario 1: Fondatore singolo</w:t>
      </w:r>
    </w:p>
    <w:p>
      <w:pPr>
        <w:spacing w:after="100" w:before="60" w:line="276"/>
        <w:jc w:val="both"/>
      </w:pPr>
      <w:r>
        <w:rPr>
          <w:rFonts w:ascii="Arial" w:cs="Arial" w:eastAsia="Arial" w:hAnsi="Arial"/>
          <w:color w:val="404040"/>
          <w:sz w:val="22"/>
          <w:szCs w:val="22"/>
        </w:rPr>
        <w:t xml:space="preserve">La dipendenza da un singolo individuo è il rischio strutturale più importante di OpenSelf nella fase attuale. Non è un rischio mitigabile completamente, ma è gestibile attraverso una serie di misure che ne riducono l'impatto:</w:t>
      </w:r>
    </w:p>
    <w:p>
      <w:pPr>
        <w:spacing w:after="60" w:before="0"/>
      </w:pPr>
      <w:r>
        <w:t xml:space="preserve"/>
      </w:r>
    </w:p>
    <w:p>
      <w:pPr>
        <w:pStyle w:val="ListParagraph"/>
        <w:numPr>
          <w:ilvl w:val="0"/>
          <w:numId w:val="2"/>
        </w:numPr>
        <w:spacing w:after="40" w:before="40" w:line="260"/>
      </w:pPr>
      <w:r>
        <w:rPr>
          <w:rFonts w:ascii="Arial" w:cs="Arial" w:eastAsia="Arial" w:hAnsi="Arial"/>
          <w:color w:val="404040"/>
          <w:sz w:val="22"/>
          <w:szCs w:val="22"/>
        </w:rPr>
        <w:t xml:space="preserve">Documentazione come asset: ARCHITECTURE.md, ADRs, CLAUDE.md e 1.300+ test garantiscono che un collaboratore possa orientarsi rapidamente nel codebase senza dipendere dalla memoria del fondatore</w:t>
      </w:r>
    </w:p>
    <w:p>
      <w:pPr>
        <w:pStyle w:val="ListParagraph"/>
        <w:numPr>
          <w:ilvl w:val="0"/>
          <w:numId w:val="2"/>
        </w:numPr>
        <w:spacing w:after="40" w:before="40" w:line="260"/>
      </w:pPr>
      <w:r>
        <w:rPr>
          <w:rFonts w:ascii="Arial" w:cs="Arial" w:eastAsia="Arial" w:hAnsi="Arial"/>
          <w:color w:val="404040"/>
          <w:sz w:val="22"/>
          <w:szCs w:val="22"/>
        </w:rPr>
        <w:t xml:space="preserve">Advisory board: identificazione di 2-3 advisor tecnici e di business entro M+3, con incontri mensili strutturati. Riduce l'isolamento decisionale e crea una rete di supporto</w:t>
      </w:r>
    </w:p>
    <w:p>
      <w:pPr>
        <w:pStyle w:val="ListParagraph"/>
        <w:numPr>
          <w:ilvl w:val="0"/>
          <w:numId w:val="2"/>
        </w:numPr>
        <w:spacing w:after="40" w:before="40" w:line="260"/>
      </w:pPr>
      <w:r>
        <w:rPr>
          <w:rFonts w:ascii="Arial" w:cs="Arial" w:eastAsia="Arial" w:hAnsi="Arial"/>
          <w:color w:val="404040"/>
          <w:sz w:val="22"/>
          <w:szCs w:val="22"/>
        </w:rPr>
        <w:t xml:space="preserve">Gestione del carico: il progetto è esplicitamente strutturato per sessioni serali sostenibili, non per sprint ad alta intensità. La sostenibilità operativa è una scelta progettuale, non un compromesso</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Rischio prioritario 2: Product-market fit</w:t>
      </w:r>
    </w:p>
    <w:p>
      <w:pPr>
        <w:spacing w:after="100" w:before="60" w:line="276"/>
        <w:jc w:val="both"/>
      </w:pPr>
      <w:r>
        <w:rPr>
          <w:rFonts w:ascii="Arial" w:cs="Arial" w:eastAsia="Arial" w:hAnsi="Arial"/>
          <w:color w:val="404040"/>
          <w:sz w:val="22"/>
          <w:szCs w:val="22"/>
        </w:rPr>
        <w:t xml:space="preserve">Il rischio più rilevante dal punto di vista della valutazione Invitalia è la possibilità che il mercato non risponda come atteso. La mitigazione principale è la struttura stessa del piano: beta gratuita con gate esplicito prima di qualsiasi impegno di risorse.</w:t>
      </w:r>
    </w:p>
    <w:p>
      <w:pPr>
        <w:spacing w:after="60" w:before="0"/>
      </w:pPr>
      <w:r>
        <w:t xml:space="preserve"/>
      </w:r>
    </w:p>
    <w:p>
      <w:pPr>
        <w:pStyle w:val="ListParagraph"/>
        <w:numPr>
          <w:ilvl w:val="0"/>
          <w:numId w:val="2"/>
        </w:numPr>
        <w:spacing w:after="40" w:before="40" w:line="260"/>
      </w:pPr>
      <w:r>
        <w:rPr>
          <w:rFonts w:ascii="Arial" w:cs="Arial" w:eastAsia="Arial" w:hAnsi="Arial"/>
          <w:color w:val="404040"/>
          <w:sz w:val="22"/>
          <w:szCs w:val="22"/>
        </w:rPr>
        <w:t xml:space="preserve">La beta di 50 utenti è progettata come esperimento controllato, non come lancio marketing. L'obiettivo è raccogliere segnali di qualità, non numeri</w:t>
      </w:r>
    </w:p>
    <w:p>
      <w:pPr>
        <w:pStyle w:val="ListParagraph"/>
        <w:numPr>
          <w:ilvl w:val="0"/>
          <w:numId w:val="2"/>
        </w:numPr>
        <w:spacing w:after="40" w:before="40" w:line="260"/>
      </w:pPr>
      <w:r>
        <w:rPr>
          <w:rFonts w:ascii="Arial" w:cs="Arial" w:eastAsia="Arial" w:hAnsi="Arial"/>
          <w:color w:val="404040"/>
          <w:sz w:val="22"/>
          <w:szCs w:val="22"/>
        </w:rPr>
        <w:t xml:space="preserve">Le interviste qualitative con ogni utente beta (strutturate attorno alle domande: cosa hai trovato utile, cosa non funziona, pagheresti €9/mese) forniscono input diretto per il pivot o la continuazione</w:t>
      </w:r>
    </w:p>
    <w:p>
      <w:pPr>
        <w:pStyle w:val="ListParagraph"/>
        <w:numPr>
          <w:ilvl w:val="0"/>
          <w:numId w:val="2"/>
        </w:numPr>
        <w:spacing w:after="40" w:before="40" w:line="260"/>
      </w:pPr>
      <w:r>
        <w:rPr>
          <w:rFonts w:ascii="Arial" w:cs="Arial" w:eastAsia="Arial" w:hAnsi="Arial"/>
          <w:color w:val="404040"/>
          <w:sz w:val="22"/>
          <w:szCs w:val="22"/>
        </w:rPr>
        <w:t xml:space="preserve">Il costo totale della fase beta è stimato in &lt;€600 (3 mesi × ~€200/mese di costi operativi). Il rischio finanziario di un fallimento della fase beta è quasi zero</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9.3 Piano di Contingenza</w:t>
      </w:r>
    </w:p>
    <w:p>
      <w:pPr>
        <w:spacing w:after="60" w:before="0"/>
      </w:pPr>
      <w:r>
        <w:t xml:space="preserve"/>
      </w:r>
    </w:p>
    <w:p>
      <w:pPr>
        <w:spacing w:after="100" w:before="60" w:line="276"/>
        <w:jc w:val="both"/>
      </w:pPr>
      <w:r>
        <w:rPr>
          <w:rFonts w:ascii="Arial" w:cs="Arial" w:eastAsia="Arial" w:hAnsi="Arial"/>
          <w:color w:val="404040"/>
          <w:sz w:val="22"/>
          <w:szCs w:val="22"/>
        </w:rPr>
        <w:t xml:space="preserve">Il piano di contingenza è strutturato attorno a tre scenari distinti, ciascuno con una risposta predefinita che non richiede analisi a caldo.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4F00" w:sz="6"/>
              <w:left w:val="single" w:color="7F4F00" w:sz="12"/>
              <w:bottom w:val="single" w:color="CCCCCC" w:sz="1"/>
              <w:right w:val="single" w:color="CCCCCC" w:sz="1"/>
            </w:tcBorders>
            <w:shd w:fill="FCE5CD" w:val="clear"/>
            <w:tcMar>
              <w:top w:type="dxa" w:w="120"/>
              <w:left w:type="dxa" w:w="200"/>
              <w:bottom w:type="dxa" w:w="120"/>
              <w:right w:type="dxa" w:w="160"/>
            </w:tcMar>
          </w:tcPr>
          <w:p>
            <w:pPr>
              <w:spacing w:after="60" w:before="0"/>
            </w:pPr>
            <w:r>
              <w:rPr>
                <w:rFonts w:ascii="Arial" w:cs="Arial" w:eastAsia="Arial" w:hAnsi="Arial"/>
                <w:b/>
                <w:bCs/>
                <w:color w:val="7F4F00"/>
                <w:sz w:val="20"/>
                <w:szCs w:val="20"/>
              </w:rPr>
              <w:t xml:space="preserve">Scenario A — NPS &lt; 30 o retention M+1 &lt; 30% a fine beta</w:t>
            </w:r>
          </w:p>
          <w:p>
            <w:pPr>
              <w:spacing w:after="0" w:before="0"/>
              <w:jc w:val="both"/>
            </w:pPr>
            <w:r>
              <w:rPr>
                <w:rFonts w:ascii="Arial" w:cs="Arial" w:eastAsia="Arial" w:hAnsi="Arial"/>
                <w:color w:val="404040"/>
                <w:sz w:val="22"/>
                <w:szCs w:val="22"/>
              </w:rPr>
              <w:t xml:space="preserve">Il prodotto non ha trovato il product-market fit nella forma attuale. Risposta: ciclo di discovery di 4 settimane (interviste approfondite con gli utenti beta, analisi dei dati di utilizzo per identificare i pattern di abbandono). Poi: pivot su uno dei tre assi identificati — cambio di target (es. focus su studenti/neolaureati invece di freelancer), cambio di canale (es. B2B via agenzie di comunicazione), cambio di core feature (es. focus sul connector flywheel come prodotto principale). Nessuna monetizzazione prima del pivot validato.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241C" w:sz="6"/>
              <w:left w:val="single" w:color="7B241C" w:sz="12"/>
              <w:bottom w:val="single" w:color="CCCCCC" w:sz="1"/>
              <w:right w:val="single" w:color="CCCCCC" w:sz="1"/>
            </w:tcBorders>
            <w:shd w:fill="FADBD8" w:val="clear"/>
            <w:tcMar>
              <w:top w:type="dxa" w:w="120"/>
              <w:left w:type="dxa" w:w="200"/>
              <w:bottom w:type="dxa" w:w="120"/>
              <w:right w:type="dxa" w:w="160"/>
            </w:tcMar>
          </w:tcPr>
          <w:p>
            <w:pPr>
              <w:spacing w:after="60" w:before="0"/>
            </w:pPr>
            <w:r>
              <w:rPr>
                <w:rFonts w:ascii="Arial" w:cs="Arial" w:eastAsia="Arial" w:hAnsi="Arial"/>
                <w:b/>
                <w:bCs/>
                <w:color w:val="7B241C"/>
                <w:sz w:val="20"/>
                <w:szCs w:val="20"/>
              </w:rPr>
              <w:t xml:space="preserve">Scenario B — CDP nega l'autorizzazione per SRLS</w:t>
            </w:r>
          </w:p>
          <w:p>
            <w:pPr>
              <w:spacing w:after="0" w:before="0"/>
              <w:jc w:val="both"/>
            </w:pPr>
            <w:r>
              <w:rPr>
                <w:rFonts w:ascii="Arial" w:cs="Arial" w:eastAsia="Arial" w:hAnsi="Arial"/>
                <w:color w:val="404040"/>
                <w:sz w:val="22"/>
                <w:szCs w:val="22"/>
              </w:rPr>
              <w:t xml:space="preserve">Il fondatore non può costituire la società mentre è dipendente CDP. Risposta a breve termine: la beta gratuita continua senza monetizzazione, non ci sono impatti legali. Risposta a medio termine: valutazione di un accordo di part-time con CDP, o dimissioni volontarie dopo che i ricavi della fase 1 raggiungono un livello sufficiente a sostenere il fondatore (target: MRR &gt; €2.000 prima di eventuali dimissioni). L'autorizzazione HR è avviata in parallelo alla beta per minimizzare i tempi.</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D6608" w:sz="6"/>
              <w:left w:val="single" w:color="7D6608" w:sz="12"/>
              <w:bottom w:val="single" w:color="CCCCCC" w:sz="1"/>
              <w:right w:val="single" w:color="CCCCCC" w:sz="1"/>
            </w:tcBorders>
            <w:shd w:fill="FEF9E7" w:val="clear"/>
            <w:tcMar>
              <w:top w:type="dxa" w:w="120"/>
              <w:left w:type="dxa" w:w="200"/>
              <w:bottom w:type="dxa" w:w="120"/>
              <w:right w:type="dxa" w:w="160"/>
            </w:tcMar>
          </w:tcPr>
          <w:p>
            <w:pPr>
              <w:spacing w:after="60" w:before="0"/>
            </w:pPr>
            <w:r>
              <w:rPr>
                <w:rFonts w:ascii="Arial" w:cs="Arial" w:eastAsia="Arial" w:hAnsi="Arial"/>
                <w:b/>
                <w:bCs/>
                <w:color w:val="7D6608"/>
                <w:sz w:val="20"/>
                <w:szCs w:val="20"/>
              </w:rPr>
              <w:t xml:space="preserve">Scenario C — Aumento significativo dei costi LLM (&gt;10x)</w:t>
            </w:r>
          </w:p>
          <w:p>
            <w:pPr>
              <w:spacing w:after="0" w:before="0"/>
              <w:jc w:val="both"/>
            </w:pPr>
            <w:r>
              <w:rPr>
                <w:rFonts w:ascii="Arial" w:cs="Arial" w:eastAsia="Arial" w:hAnsi="Arial"/>
                <w:color w:val="404040"/>
                <w:sz w:val="22"/>
                <w:szCs w:val="22"/>
              </w:rPr>
              <w:t xml:space="preserve">Un provider aumenta i prezzi in modo non sostenibile. Risposta: il routing multi-provider permette di migrare il traffico verso provider più economici in ore. Il tier free può essere limitato a un numero inferiore di heartbeat automatici. Nella fase di sviluppo già pianificata (Ollama locale), i modelli open-weight locali diventano un'alternativa concreta per i task leggeri — l'architettura è già predisposta per questo scenario.</w:t>
            </w:r>
          </w:p>
        </w:tc>
      </w:tr>
    </w:tbl>
    <w:p>
      <w:pPr>
        <w:spacing w:after="200" w:before="0"/>
      </w:pPr>
      <w:r>
        <w:t xml:space="preserve"/>
      </w:r>
    </w:p>
    <w:p>
      <w:pPr>
        <w:pBdr>
          <w:top w:val="single" w:color="CCCCCC" w:sz="4" w:space="8"/>
        </w:pBdr>
        <w:spacing w:after="0" w:before="0"/>
      </w:pPr>
      <w:r>
        <w:rPr>
          <w:rFonts w:ascii="Arial" w:cs="Arial" w:eastAsia="Arial" w:hAnsi="Arial"/>
          <w:i/>
          <w:iCs/>
          <w:color w:val="AAAAAA"/>
          <w:sz w:val="16"/>
          <w:szCs w:val="16"/>
        </w:rPr>
        <w:t xml:space="preserve">OpenSelf — Piano d'Impresa | Sezione 9: Analisi dei Rischi e Mitigazioni | Documento riservato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2026-03-12T15:20:58.252Z</dcterms:created>
  <dcterms:modified xsi:type="dcterms:W3CDTF">2026-03-12T15:20:58.252Z</dcterms:modified>
</cp:coreProperties>
</file>

<file path=docProps/custom.xml><?xml version="1.0" encoding="utf-8"?>
<Properties xmlns="http://schemas.openxmlformats.org/officeDocument/2006/custom-properties" xmlns:vt="http://schemas.openxmlformats.org/officeDocument/2006/docPropsVTypes"/>
</file>