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A23A3D" w:rsidP="00407AB8">
      <w:pPr>
        <w:pStyle w:val="ListParagraph"/>
        <w:tabs>
          <w:tab w:val="left" w:pos="567"/>
        </w:tabs>
        <w:ind w:left="0" w:firstLine="567"/>
      </w:pPr>
      <w:r w:rsidRPr="00A23A3D">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01062D">
        <w:t>an digambarkan pada Gambar 2.1.,</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23A3D"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A23A3D"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23A3D"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D27E56"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827B59" w:rsidRDefault="00F02B19" w:rsidP="00765EC0">
      <w:pPr>
        <w:pStyle w:val="ListParagraph"/>
        <w:tabs>
          <w:tab w:val="left" w:pos="567"/>
        </w:tabs>
        <w:ind w:left="0"/>
        <w:jc w:val="center"/>
        <w:rPr>
          <w:b/>
        </w:rPr>
      </w:pPr>
      <w:r w:rsidRPr="00827B59">
        <w:rPr>
          <w:b/>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A23A3D"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6F26A1">
        <w:rPr>
          <w:color w:val="000000"/>
          <w:lang w:val="en-GB"/>
        </w:rPr>
        <w:t>1</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A23A3D"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6F26A1">
        <w:rPr>
          <w:lang w:val="en-GB"/>
        </w:rPr>
        <w:t>2</w:t>
      </w:r>
      <w:r w:rsidR="00D27E56">
        <w:rPr>
          <w:lang w:val="id-ID"/>
        </w:rPr>
        <w:t xml:space="preserve"> </w:t>
      </w:r>
      <w:r w:rsidRPr="00E57FB9">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6F26A1" w:rsidP="006D465C">
      <w:pPr>
        <w:jc w:val="center"/>
      </w:pPr>
      <w:r>
        <w:t>Tabel 2.3</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9613593"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BC21FE">
        <w:rPr>
          <w:lang w:val="id-ID"/>
        </w:rPr>
        <w:t>4</w:t>
      </w:r>
      <w:r w:rsidRPr="00B816B7">
        <w:t xml:space="preserve"> berikut.</w:t>
      </w:r>
    </w:p>
    <w:p w:rsidR="006D465C" w:rsidRPr="00B816B7" w:rsidRDefault="006F26A1" w:rsidP="006D465C">
      <w:pPr>
        <w:pStyle w:val="ListParagraph"/>
        <w:ind w:left="1138" w:firstLine="1138"/>
        <w:rPr>
          <w:i/>
        </w:rPr>
      </w:pPr>
      <w:r>
        <w:t>Tabel 2.4</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6D465C" w:rsidRDefault="006D465C" w:rsidP="006D465C">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B4649C" w:rsidRPr="00B4649C" w:rsidRDefault="003D0FD1" w:rsidP="00992800">
      <w:pPr>
        <w:pStyle w:val="ListParagraph"/>
        <w:numPr>
          <w:ilvl w:val="2"/>
          <w:numId w:val="33"/>
        </w:numPr>
        <w:autoSpaceDE w:val="0"/>
        <w:autoSpaceDN w:val="0"/>
        <w:adjustRightInd w:val="0"/>
        <w:ind w:left="709"/>
        <w:rPr>
          <w:b/>
          <w:i/>
          <w:lang w:val="en-ID" w:eastAsia="id-ID"/>
        </w:rPr>
      </w:pPr>
      <w:r w:rsidRPr="00B4649C">
        <w:rPr>
          <w:b/>
          <w:i/>
          <w:lang w:val="en-ID" w:eastAsia="id-ID"/>
        </w:rPr>
        <w:t xml:space="preserve">Cosine Similarity </w:t>
      </w:r>
    </w:p>
    <w:p w:rsidR="00B4649C" w:rsidRDefault="00B4649C" w:rsidP="003D0FD1">
      <w:pPr>
        <w:autoSpaceDE w:val="0"/>
        <w:autoSpaceDN w:val="0"/>
        <w:adjustRightInd w:val="0"/>
        <w:ind w:firstLine="426"/>
      </w:pPr>
      <w:r>
        <w:t>Menurut Manning, Raghavan, dan Schutze, (2008):</w:t>
      </w:r>
      <w:r w:rsidR="00445CD1">
        <w:t xml:space="preserve"> “</w:t>
      </w:r>
      <w:r>
        <w:t>cosine similarity digunakan untuk mengukur kedekatan antara dua vektor.</w:t>
      </w:r>
      <w:r w:rsidR="00445CD1">
        <w:t>”</w:t>
      </w:r>
    </w:p>
    <w:p w:rsidR="002F5DDF" w:rsidRDefault="002F5DDF" w:rsidP="003D0FD1">
      <w:pPr>
        <w:autoSpaceDE w:val="0"/>
        <w:autoSpaceDN w:val="0"/>
        <w:adjustRightInd w:val="0"/>
        <w:ind w:firstLine="426"/>
      </w:pPr>
      <w:r w:rsidRPr="002F5DDF">
        <w:t>Fahmi Arif Dewoputro, Imam Much Ibnu Subroto, Sam Farisa Chaerul Haviana</w:t>
      </w:r>
      <w:r>
        <w:t xml:space="preserve"> (2016: 39) : “</w:t>
      </w:r>
      <w:r w:rsidR="00B4649C">
        <w:t>Cosine similarity adalah ukuran kesamaan yang lebih umum digunakan dalam information retrieval dan merupakan ukuran sudut antara vector geja</w:t>
      </w:r>
      <w:r>
        <w:t>la (titik (A)) dan (titik (B))”.</w:t>
      </w:r>
    </w:p>
    <w:p w:rsidR="00B4649C" w:rsidRDefault="00B4649C" w:rsidP="003D0FD1">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B4649C" w:rsidRDefault="00A23A3D" w:rsidP="003D0FD1">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F35F1E" w:rsidRDefault="00B4649C" w:rsidP="00F35F1E">
      <w:pPr>
        <w:autoSpaceDE w:val="0"/>
        <w:autoSpaceDN w:val="0"/>
        <w:adjustRightInd w:val="0"/>
      </w:pPr>
      <w:r>
        <w:t xml:space="preserve">Dimana </w:t>
      </w:r>
    </w:p>
    <w:p w:rsidR="00F35F1E" w:rsidRDefault="00F35F1E" w:rsidP="003D0FD1">
      <w:pPr>
        <w:autoSpaceDE w:val="0"/>
        <w:autoSpaceDN w:val="0"/>
        <w:adjustRightInd w:val="0"/>
        <w:ind w:firstLine="426"/>
      </w:pPr>
      <w:r>
        <w:t xml:space="preserve">A . B </w:t>
      </w:r>
      <w:r w:rsidR="00B4649C">
        <w:t xml:space="preserve">= Vektor </w:t>
      </w:r>
      <w:r w:rsidR="00B4649C" w:rsidRPr="00F35F1E">
        <w:rPr>
          <w:i/>
        </w:rPr>
        <w:t>dot product</w:t>
      </w:r>
      <w:r w:rsidR="00B4649C">
        <w:t xml:space="preserve"> dari A dan B di hitung dengan ∑ </w:t>
      </w:r>
      <w:r w:rsidR="00B4649C">
        <w:rPr>
          <w:rFonts w:ascii="Cambria Math" w:hAnsi="Cambria Math" w:cs="Cambria Math"/>
        </w:rPr>
        <w:t>𝐴</w:t>
      </w:r>
      <w:r w:rsidR="00B4649C">
        <w:t xml:space="preserve">. </w:t>
      </w:r>
      <w:r w:rsidR="00B4649C">
        <w:rPr>
          <w:rFonts w:ascii="Cambria Math" w:hAnsi="Cambria Math" w:cs="Cambria Math"/>
        </w:rPr>
        <w:t>𝐵</w:t>
      </w:r>
    </w:p>
    <w:p w:rsidR="00F35F1E" w:rsidRDefault="00B4649C" w:rsidP="00F35F1E">
      <w:pPr>
        <w:autoSpaceDE w:val="0"/>
        <w:autoSpaceDN w:val="0"/>
        <w:adjustRightInd w:val="0"/>
      </w:pPr>
      <w:r>
        <w:t xml:space="preserve">Dan </w:t>
      </w:r>
    </w:p>
    <w:p w:rsidR="00F35F1E" w:rsidRDefault="00B4649C" w:rsidP="00F35F1E">
      <w:pPr>
        <w:autoSpaceDE w:val="0"/>
        <w:autoSpaceDN w:val="0"/>
        <w:adjustRightInd w:val="0"/>
        <w:ind w:firstLine="426"/>
      </w:pPr>
      <w:r>
        <w:t>||A|| = Panjang dari vektor A, di hitung dengan</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F35F1E" w:rsidRDefault="00B4649C" w:rsidP="00F35F1E">
      <w:pPr>
        <w:autoSpaceDE w:val="0"/>
        <w:autoSpaceDN w:val="0"/>
        <w:adjustRightInd w:val="0"/>
        <w:ind w:firstLine="426"/>
      </w:pPr>
      <w:r>
        <w:lastRenderedPageBreak/>
        <w:t>||B|| = Panjang dar</w:t>
      </w:r>
      <w:r w:rsidR="00F35F1E">
        <w:t xml:space="preserve">i vektor B, di hitung dengan </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F35F1E" w:rsidRDefault="00B4649C" w:rsidP="00F35F1E">
      <w:pPr>
        <w:autoSpaceDE w:val="0"/>
        <w:autoSpaceDN w:val="0"/>
        <w:adjustRightInd w:val="0"/>
      </w:pPr>
      <w:r>
        <w:t>Maka dapat di rumuskan seperti berikut :</w:t>
      </w:r>
    </w:p>
    <w:p w:rsidR="00F35F1E" w:rsidRPr="00F35F1E" w:rsidRDefault="00A23A3D" w:rsidP="00F35F1E">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F35F1E">
        <w:t xml:space="preserve">  = </w:t>
      </w:r>
      <m:oMath>
        <m:f>
          <m:fPr>
            <m:ctrlPr>
              <w:rPr>
                <w:rFonts w:ascii="Cambria Math" w:hAnsi="Cambria Math"/>
              </w:rPr>
            </m:ctrlPr>
          </m:fPr>
          <m:num>
            <m:nary>
              <m:naryPr>
                <m:chr m:val="∑"/>
                <m:limLoc m:val="undOvr"/>
                <m:subHide m:val="on"/>
                <m:supHide m:val="on"/>
                <m:ctrlPr>
                  <w:rPr>
                    <w:rFonts w:ascii="Cambria Math" w:hAnsi="Cambria Math"/>
                  </w:rPr>
                </m:ctrlPr>
              </m:naryPr>
              <m:sub/>
              <m:sup/>
              <m:e>
                <m:r>
                  <w:rPr>
                    <w:rFonts w:ascii="Cambria Math" w:hAnsi="Cambria Math"/>
                  </w:rPr>
                  <m:t>A .B</m:t>
                </m:r>
              </m:e>
            </m:nary>
          </m:num>
          <m:den>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DC72AC" w:rsidRDefault="00DC72AC" w:rsidP="00A7776A">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732795" w:rsidRDefault="00732795" w:rsidP="00732795">
      <w:pPr>
        <w:ind w:firstLine="426"/>
      </w:pPr>
      <w:r>
        <w:t>Diberikan dua buah kalimat yaitu kalimat A dan B, yaitu:</w:t>
      </w:r>
    </w:p>
    <w:p w:rsidR="00732795" w:rsidRDefault="00732795" w:rsidP="00732795">
      <w:r>
        <w:t>A : Julie loves me more than Linda loves me</w:t>
      </w:r>
    </w:p>
    <w:p w:rsidR="00732795" w:rsidRDefault="00732795" w:rsidP="00732795">
      <w:r>
        <w:t>B : Jane likes me more than Julie loves me</w:t>
      </w:r>
    </w:p>
    <w:p w:rsidR="00796CB7" w:rsidRPr="00796CB7" w:rsidRDefault="00B71803" w:rsidP="00796CB7">
      <w:pPr>
        <w:pStyle w:val="ListParagraph"/>
        <w:ind w:left="1138" w:firstLine="1138"/>
        <w:rPr>
          <w:i/>
        </w:rPr>
      </w:pPr>
      <w:r>
        <w:t>Tabel 2.5</w:t>
      </w:r>
      <w:r w:rsidR="00BC21FE">
        <w:rPr>
          <w:lang w:val="id-ID"/>
        </w:rPr>
        <w:t xml:space="preserve"> </w:t>
      </w:r>
      <w:r>
        <w:t>Uji kemiripan teks</w:t>
      </w:r>
    </w:p>
    <w:tbl>
      <w:tblPr>
        <w:tblStyle w:val="TableGrid"/>
        <w:tblW w:w="6374" w:type="dxa"/>
        <w:jc w:val="center"/>
        <w:tblLook w:val="04A0"/>
      </w:tblPr>
      <w:tblGrid>
        <w:gridCol w:w="891"/>
        <w:gridCol w:w="2365"/>
        <w:gridCol w:w="1559"/>
        <w:gridCol w:w="1559"/>
      </w:tblGrid>
      <w:tr w:rsidR="00796CB7" w:rsidTr="00B71803">
        <w:trPr>
          <w:trHeight w:val="552"/>
          <w:jc w:val="center"/>
        </w:trPr>
        <w:tc>
          <w:tcPr>
            <w:tcW w:w="891"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indek</w:t>
            </w:r>
          </w:p>
        </w:tc>
        <w:tc>
          <w:tcPr>
            <w:tcW w:w="2365"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Daftar Kata</w:t>
            </w:r>
          </w:p>
        </w:tc>
        <w:tc>
          <w:tcPr>
            <w:tcW w:w="3118" w:type="dxa"/>
            <w:gridSpan w:val="2"/>
          </w:tcPr>
          <w:p w:rsidR="00796CB7" w:rsidRPr="00796CB7" w:rsidRDefault="00796CB7" w:rsidP="00796CB7">
            <w:pPr>
              <w:pStyle w:val="ListParagraph"/>
              <w:ind w:left="0"/>
              <w:jc w:val="center"/>
              <w:rPr>
                <w:b/>
                <w:iCs/>
                <w:color w:val="000000"/>
              </w:rPr>
            </w:pPr>
            <w:r w:rsidRPr="00796CB7">
              <w:rPr>
                <w:b/>
                <w:iCs/>
                <w:color w:val="000000"/>
              </w:rPr>
              <w:t>Jumlah Kemucunlan kata</w:t>
            </w:r>
          </w:p>
        </w:tc>
      </w:tr>
      <w:tr w:rsidR="00796CB7" w:rsidTr="00B71803">
        <w:trPr>
          <w:trHeight w:val="552"/>
          <w:jc w:val="center"/>
        </w:trPr>
        <w:tc>
          <w:tcPr>
            <w:tcW w:w="891" w:type="dxa"/>
            <w:vMerge/>
            <w:vAlign w:val="center"/>
          </w:tcPr>
          <w:p w:rsidR="00796CB7" w:rsidRDefault="00796CB7" w:rsidP="00796CB7">
            <w:pPr>
              <w:pStyle w:val="ListParagraph"/>
              <w:ind w:left="0"/>
              <w:jc w:val="center"/>
              <w:rPr>
                <w:iCs/>
                <w:color w:val="000000"/>
              </w:rPr>
            </w:pPr>
          </w:p>
        </w:tc>
        <w:tc>
          <w:tcPr>
            <w:tcW w:w="2365" w:type="dxa"/>
            <w:vMerge/>
          </w:tcPr>
          <w:p w:rsidR="00796CB7" w:rsidRDefault="00796CB7" w:rsidP="00796CB7">
            <w:pPr>
              <w:pStyle w:val="ListParagraph"/>
              <w:ind w:left="0"/>
              <w:rPr>
                <w:iCs/>
                <w:color w:val="000000"/>
              </w:rPr>
            </w:pPr>
          </w:p>
        </w:tc>
        <w:tc>
          <w:tcPr>
            <w:tcW w:w="1559" w:type="dxa"/>
            <w:vAlign w:val="center"/>
          </w:tcPr>
          <w:p w:rsidR="00796CB7" w:rsidRDefault="00796CB7" w:rsidP="00796CB7">
            <w:pPr>
              <w:pStyle w:val="ListParagraph"/>
              <w:ind w:left="0"/>
              <w:jc w:val="center"/>
              <w:rPr>
                <w:iCs/>
                <w:color w:val="000000"/>
              </w:rPr>
            </w:pPr>
            <w:r>
              <w:rPr>
                <w:iCs/>
                <w:color w:val="000000"/>
              </w:rPr>
              <w:t>A</w:t>
            </w:r>
          </w:p>
        </w:tc>
        <w:tc>
          <w:tcPr>
            <w:tcW w:w="1559" w:type="dxa"/>
            <w:vAlign w:val="bottom"/>
          </w:tcPr>
          <w:p w:rsidR="00796CB7" w:rsidRPr="00796CB7" w:rsidRDefault="00796CB7" w:rsidP="00796CB7">
            <w:pPr>
              <w:pStyle w:val="ListParagraph"/>
              <w:ind w:left="0"/>
              <w:jc w:val="center"/>
              <w:rPr>
                <w:b/>
                <w:iCs/>
                <w:color w:val="000000"/>
              </w:rPr>
            </w:pPr>
            <w:r w:rsidRPr="00796CB7">
              <w:rPr>
                <w:b/>
                <w:iCs/>
                <w:color w:val="000000"/>
              </w:rPr>
              <w:t>B</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1</w:t>
            </w:r>
          </w:p>
        </w:tc>
        <w:tc>
          <w:tcPr>
            <w:tcW w:w="2365" w:type="dxa"/>
            <w:vAlign w:val="center"/>
          </w:tcPr>
          <w:p w:rsidR="00796CB7" w:rsidRDefault="00796CB7" w:rsidP="00796CB7">
            <w:pPr>
              <w:pStyle w:val="ListParagraph"/>
              <w:ind w:left="0"/>
              <w:jc w:val="left"/>
              <w:rPr>
                <w:iCs/>
                <w:color w:val="000000"/>
              </w:rPr>
            </w:pPr>
            <w:r>
              <w:rPr>
                <w:iCs/>
                <w:color w:val="000000"/>
              </w:rPr>
              <w:t>Julie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2</w:t>
            </w:r>
          </w:p>
        </w:tc>
        <w:tc>
          <w:tcPr>
            <w:tcW w:w="2365" w:type="dxa"/>
            <w:vAlign w:val="center"/>
          </w:tcPr>
          <w:p w:rsidR="00796CB7" w:rsidRDefault="00796CB7" w:rsidP="00796CB7">
            <w:pPr>
              <w:pStyle w:val="ListParagraph"/>
              <w:ind w:left="0"/>
              <w:jc w:val="left"/>
              <w:rPr>
                <w:iCs/>
                <w:color w:val="000000"/>
              </w:rPr>
            </w:pPr>
            <w:r>
              <w:rPr>
                <w:iCs/>
                <w:color w:val="000000"/>
              </w:rPr>
              <w:t>Loves</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3</w:t>
            </w:r>
          </w:p>
        </w:tc>
        <w:tc>
          <w:tcPr>
            <w:tcW w:w="2365" w:type="dxa"/>
            <w:vAlign w:val="center"/>
          </w:tcPr>
          <w:p w:rsidR="00796CB7" w:rsidRDefault="00796CB7" w:rsidP="00796CB7">
            <w:pPr>
              <w:pStyle w:val="ListParagraph"/>
              <w:ind w:left="0"/>
              <w:jc w:val="left"/>
              <w:rPr>
                <w:iCs/>
                <w:color w:val="000000"/>
              </w:rPr>
            </w:pPr>
            <w:r>
              <w:rPr>
                <w:iCs/>
                <w:color w:val="000000"/>
              </w:rPr>
              <w:t>Me</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2</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4</w:t>
            </w:r>
          </w:p>
        </w:tc>
        <w:tc>
          <w:tcPr>
            <w:tcW w:w="2365" w:type="dxa"/>
            <w:vAlign w:val="center"/>
          </w:tcPr>
          <w:p w:rsidR="00796CB7" w:rsidRDefault="00796CB7" w:rsidP="00796CB7">
            <w:pPr>
              <w:pStyle w:val="ListParagraph"/>
              <w:ind w:left="0"/>
              <w:jc w:val="left"/>
              <w:rPr>
                <w:iCs/>
                <w:color w:val="000000"/>
              </w:rPr>
            </w:pPr>
            <w:r>
              <w:rPr>
                <w:iCs/>
                <w:color w:val="000000"/>
              </w:rPr>
              <w:t>More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5</w:t>
            </w:r>
          </w:p>
        </w:tc>
        <w:tc>
          <w:tcPr>
            <w:tcW w:w="2365" w:type="dxa"/>
            <w:vAlign w:val="center"/>
          </w:tcPr>
          <w:p w:rsidR="00796CB7" w:rsidRDefault="00796CB7" w:rsidP="00796CB7">
            <w:pPr>
              <w:pStyle w:val="ListParagraph"/>
              <w:ind w:left="0"/>
              <w:jc w:val="left"/>
              <w:rPr>
                <w:iCs/>
                <w:color w:val="000000"/>
              </w:rPr>
            </w:pPr>
            <w:r>
              <w:rPr>
                <w:iCs/>
                <w:color w:val="000000"/>
              </w:rPr>
              <w:t>Than</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6</w:t>
            </w:r>
          </w:p>
        </w:tc>
        <w:tc>
          <w:tcPr>
            <w:tcW w:w="2365" w:type="dxa"/>
            <w:vAlign w:val="center"/>
          </w:tcPr>
          <w:p w:rsidR="00796CB7" w:rsidRDefault="00796CB7" w:rsidP="00796CB7">
            <w:pPr>
              <w:pStyle w:val="ListParagraph"/>
              <w:ind w:left="0"/>
              <w:jc w:val="left"/>
              <w:rPr>
                <w:iCs/>
                <w:color w:val="000000"/>
              </w:rPr>
            </w:pPr>
            <w:r>
              <w:rPr>
                <w:iCs/>
                <w:color w:val="000000"/>
              </w:rPr>
              <w:t>Linda</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0</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7</w:t>
            </w:r>
          </w:p>
        </w:tc>
        <w:tc>
          <w:tcPr>
            <w:tcW w:w="2365" w:type="dxa"/>
            <w:vAlign w:val="center"/>
          </w:tcPr>
          <w:p w:rsidR="00796CB7" w:rsidRDefault="00796CB7" w:rsidP="00796CB7">
            <w:pPr>
              <w:pStyle w:val="ListParagraph"/>
              <w:ind w:left="0"/>
              <w:jc w:val="left"/>
              <w:rPr>
                <w:iCs/>
                <w:color w:val="000000"/>
              </w:rPr>
            </w:pPr>
            <w:r>
              <w:rPr>
                <w:iCs/>
                <w:color w:val="000000"/>
              </w:rPr>
              <w:t>Jane</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8</w:t>
            </w:r>
          </w:p>
        </w:tc>
        <w:tc>
          <w:tcPr>
            <w:tcW w:w="2365" w:type="dxa"/>
            <w:vAlign w:val="center"/>
          </w:tcPr>
          <w:p w:rsidR="00796CB7" w:rsidRDefault="00156343" w:rsidP="00796CB7">
            <w:pPr>
              <w:pStyle w:val="ListParagraph"/>
              <w:ind w:left="0"/>
              <w:jc w:val="left"/>
              <w:rPr>
                <w:iCs/>
                <w:color w:val="000000"/>
              </w:rPr>
            </w:pPr>
            <w:r>
              <w:rPr>
                <w:iCs/>
                <w:color w:val="000000"/>
              </w:rPr>
              <w:t>L</w:t>
            </w:r>
            <w:r w:rsidR="00796CB7">
              <w:rPr>
                <w:iCs/>
                <w:color w:val="000000"/>
              </w:rPr>
              <w:t>ikes</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bl>
    <w:p w:rsidR="00BB2499" w:rsidRDefault="00BB2499" w:rsidP="00156343">
      <w:pPr>
        <w:pStyle w:val="ListParagraph"/>
        <w:autoSpaceDE w:val="0"/>
        <w:autoSpaceDN w:val="0"/>
        <w:adjustRightInd w:val="0"/>
        <w:ind w:left="709"/>
        <w:rPr>
          <w:b/>
          <w:i/>
          <w:lang w:val="en-ID" w:eastAsia="id-ID"/>
        </w:rPr>
      </w:pPr>
    </w:p>
    <w:p w:rsidR="00BB2499" w:rsidRPr="00BB2499" w:rsidRDefault="00BB2499" w:rsidP="00BB2499">
      <w:pPr>
        <w:ind w:firstLine="720"/>
        <w:rPr>
          <w:lang w:val="en-ID" w:eastAsia="id-ID"/>
        </w:rPr>
      </w:pPr>
      <w:r w:rsidRPr="00BB2499">
        <w:rPr>
          <w:lang w:val="en-ID" w:eastAsia="id-ID"/>
        </w:rPr>
        <w:lastRenderedPageBreak/>
        <w:t>Berdasarkan rumus tersebut di atas dilakukan penghitungan seperti di bawah ini.</w:t>
      </w:r>
    </w:p>
    <w:p w:rsidR="00BB2499" w:rsidRPr="00BB2499" w:rsidRDefault="00BB2499" w:rsidP="00BB2499">
      <w:pPr>
        <w:rPr>
          <w:lang w:val="en-ID" w:eastAsia="id-ID"/>
        </w:rPr>
      </w:pPr>
    </w:p>
    <w:p w:rsidR="00BB2499" w:rsidRDefault="00BB2499" w:rsidP="00BB2499">
      <w:pPr>
        <w:rPr>
          <w:lang w:val="en-ID" w:eastAsia="id-ID"/>
        </w:rPr>
      </w:pPr>
      <w:r w:rsidRPr="00BB2499">
        <w:rPr>
          <w:lang w:val="en-ID" w:eastAsia="id-ID"/>
        </w:rPr>
        <w:t>Tingkat kemiripan teks =</w:t>
      </w:r>
    </w:p>
    <w:p w:rsidR="00BB2499" w:rsidRDefault="00BB2499" w:rsidP="00BB2499">
      <w:pPr>
        <w:rPr>
          <w:lang w:val="en-ID" w:eastAsia="id-ID"/>
        </w:rPr>
      </w:pPr>
      <w:r>
        <w:rPr>
          <w:noProof/>
        </w:rPr>
        <w:drawing>
          <wp:inline distT="0" distB="0" distL="0" distR="0">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BB2499" w:rsidRPr="00BB2499" w:rsidRDefault="00BB2499" w:rsidP="00BB2499">
      <w:pPr>
        <w:rPr>
          <w:lang w:val="en-ID" w:eastAsia="id-ID"/>
        </w:rPr>
      </w:pPr>
    </w:p>
    <w:p w:rsidR="00156343" w:rsidRDefault="00156343" w:rsidP="00156343">
      <w:pPr>
        <w:pStyle w:val="ListParagraph"/>
        <w:numPr>
          <w:ilvl w:val="2"/>
          <w:numId w:val="33"/>
        </w:numPr>
        <w:autoSpaceDE w:val="0"/>
        <w:autoSpaceDN w:val="0"/>
        <w:adjustRightInd w:val="0"/>
        <w:ind w:left="709"/>
        <w:rPr>
          <w:b/>
          <w:i/>
          <w:lang w:val="en-ID" w:eastAsia="id-ID"/>
        </w:rPr>
      </w:pPr>
      <w:r>
        <w:rPr>
          <w:b/>
          <w:lang w:val="en-ID" w:eastAsia="id-ID"/>
        </w:rPr>
        <w:t xml:space="preserve">Pengujian </w:t>
      </w:r>
      <w:r w:rsidRPr="00156343">
        <w:rPr>
          <w:b/>
          <w:i/>
          <w:lang w:val="en-ID" w:eastAsia="id-ID"/>
        </w:rPr>
        <w:t>BlackB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rPr>
          <w:iCs/>
          <w:color w:val="000000"/>
        </w:rPr>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w:t>
      </w:r>
      <w:r w:rsidR="005B6146">
        <w:rPr>
          <w:color w:val="000000"/>
        </w:rPr>
        <w:lastRenderedPageBreak/>
        <w:t>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lastRenderedPageBreak/>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beberapa jenis bantuan social KPS ( Kartu Perlindungan Sosial ) dan BLSM ( Bantuan Lansung Sementara Masyarakat )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dosenpembimbing berupa keahlian dosen pembimbing, tugas akhir yang pernah dibimbing oleh dosen. Kemudian metode</w:t>
      </w:r>
      <w:bookmarkStart w:id="0" w:name="_GoBack"/>
      <w:r w:rsidR="00190931" w:rsidRPr="0010435A">
        <w:rPr>
          <w:i/>
        </w:rPr>
        <w:t>Cosine Similsrity</w:t>
      </w:r>
      <w:bookmarkEnd w:id="0"/>
      <w:r w:rsidR="00190931">
        <w:t>akan memnghitung tingkat kesamaan kedua query tersebut. Nilai kemiripan yang tertinggi akandimunculkan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AE1" w:rsidRDefault="001B1AE1" w:rsidP="00957A93">
      <w:pPr>
        <w:spacing w:line="240" w:lineRule="auto"/>
      </w:pPr>
      <w:r>
        <w:separator/>
      </w:r>
    </w:p>
  </w:endnote>
  <w:endnote w:type="continuationSeparator" w:id="1">
    <w:p w:rsidR="001B1AE1" w:rsidRDefault="001B1AE1" w:rsidP="00957A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AE1" w:rsidRDefault="001B1AE1" w:rsidP="00957A93">
      <w:pPr>
        <w:spacing w:line="240" w:lineRule="auto"/>
      </w:pPr>
      <w:r>
        <w:separator/>
      </w:r>
    </w:p>
  </w:footnote>
  <w:footnote w:type="continuationSeparator" w:id="1">
    <w:p w:rsidR="001B1AE1" w:rsidRDefault="001B1AE1" w:rsidP="00957A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09610"/>
      <w:docPartObj>
        <w:docPartGallery w:val="Page Numbers (Top of Page)"/>
        <w:docPartUnique/>
      </w:docPartObj>
    </w:sdtPr>
    <w:sdtEndPr>
      <w:rPr>
        <w:noProof/>
        <w:sz w:val="22"/>
        <w:szCs w:val="22"/>
      </w:rPr>
    </w:sdtEndPr>
    <w:sdtContent>
      <w:p w:rsidR="006E2394" w:rsidRPr="00363610" w:rsidRDefault="00A23A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BC21FE">
          <w:rPr>
            <w:noProof/>
            <w:sz w:val="22"/>
            <w:szCs w:val="22"/>
          </w:rPr>
          <w:t>17</w:t>
        </w:r>
        <w:r w:rsidRPr="00363610">
          <w:rPr>
            <w:noProof/>
            <w:sz w:val="22"/>
            <w:szCs w:val="22"/>
          </w:rPr>
          <w:fldChar w:fldCharType="end"/>
        </w:r>
      </w:p>
    </w:sdtContent>
  </w:sdt>
  <w:p w:rsidR="006E2394" w:rsidRDefault="006E23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4">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DBC19E9"/>
    <w:multiLevelType w:val="multilevel"/>
    <w:tmpl w:val="4A96AEE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1">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32"/>
  </w:num>
  <w:num w:numId="4">
    <w:abstractNumId w:val="6"/>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7"/>
  </w:num>
  <w:num w:numId="16">
    <w:abstractNumId w:val="31"/>
  </w:num>
  <w:num w:numId="17">
    <w:abstractNumId w:val="42"/>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6"/>
  </w:num>
  <w:num w:numId="27">
    <w:abstractNumId w:val="14"/>
  </w:num>
  <w:num w:numId="28">
    <w:abstractNumId w:val="13"/>
  </w:num>
  <w:num w:numId="29">
    <w:abstractNumId w:val="34"/>
  </w:num>
  <w:num w:numId="30">
    <w:abstractNumId w:val="41"/>
  </w:num>
  <w:num w:numId="31">
    <w:abstractNumId w:val="18"/>
  </w:num>
  <w:num w:numId="32">
    <w:abstractNumId w:val="24"/>
  </w:num>
  <w:num w:numId="33">
    <w:abstractNumId w:val="39"/>
  </w:num>
  <w:num w:numId="34">
    <w:abstractNumId w:val="9"/>
  </w:num>
  <w:num w:numId="35">
    <w:abstractNumId w:val="37"/>
  </w:num>
  <w:num w:numId="36">
    <w:abstractNumId w:val="40"/>
  </w:num>
  <w:num w:numId="37">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5A92"/>
    <w:rsid w:val="001B1AE1"/>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52E47"/>
    <w:rsid w:val="00A54E4B"/>
    <w:rsid w:val="00A641DD"/>
    <w:rsid w:val="00A70E95"/>
    <w:rsid w:val="00A73496"/>
    <w:rsid w:val="00A734EA"/>
    <w:rsid w:val="00A73C99"/>
    <w:rsid w:val="00A7776A"/>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D0FBC"/>
    <w:rsid w:val="00CE02C7"/>
    <w:rsid w:val="00CE3C04"/>
    <w:rsid w:val="00CF0381"/>
    <w:rsid w:val="00CF2497"/>
    <w:rsid w:val="00CF422D"/>
    <w:rsid w:val="00CF4F16"/>
    <w:rsid w:val="00CF5C8C"/>
    <w:rsid w:val="00D053D8"/>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42"/>
        <o:r id="V:Rule2" type="connector" idref="#AutoShape 401"/>
        <o:r id="V:Rule3" type="connector" idref="#AutoShape 4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DCAB-7BE3-4B1D-9F40-1DA9D7DB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18</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19877</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Asdar Said</cp:lastModifiedBy>
  <cp:revision>49</cp:revision>
  <cp:lastPrinted>2019-10-12T08:07:00Z</cp:lastPrinted>
  <dcterms:created xsi:type="dcterms:W3CDTF">2019-08-24T07:25:00Z</dcterms:created>
  <dcterms:modified xsi:type="dcterms:W3CDTF">2020-01-04T07:27:00Z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