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300733"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300733"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300733"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300733"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300733"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r>
        <w:rPr>
          <w:bCs/>
        </w:rPr>
        <w:t>aplikasi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300733"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A87655"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lastRenderedPageBreak/>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A87655"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C41902">
        <w:trPr>
          <w:trHeight w:val="552"/>
          <w:jc w:val="center"/>
        </w:trPr>
        <w:tc>
          <w:tcPr>
            <w:tcW w:w="891"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Daftar Kata</w:t>
            </w:r>
          </w:p>
        </w:tc>
        <w:tc>
          <w:tcPr>
            <w:tcW w:w="3118" w:type="dxa"/>
            <w:gridSpan w:val="2"/>
          </w:tcPr>
          <w:p w:rsidR="00A87655" w:rsidRPr="00796CB7" w:rsidRDefault="00A87655" w:rsidP="00C41902">
            <w:pPr>
              <w:pStyle w:val="ListParagraph"/>
              <w:ind w:left="0"/>
              <w:jc w:val="center"/>
              <w:rPr>
                <w:b/>
                <w:iCs/>
                <w:color w:val="000000"/>
              </w:rPr>
            </w:pPr>
            <w:r w:rsidRPr="00796CB7">
              <w:rPr>
                <w:b/>
                <w:iCs/>
                <w:color w:val="000000"/>
              </w:rPr>
              <w:t>Jumlah Kemucunlan kata</w:t>
            </w:r>
          </w:p>
        </w:tc>
      </w:tr>
      <w:tr w:rsidR="00A87655" w:rsidTr="00C41902">
        <w:trPr>
          <w:trHeight w:val="552"/>
          <w:jc w:val="center"/>
        </w:trPr>
        <w:tc>
          <w:tcPr>
            <w:tcW w:w="891" w:type="dxa"/>
            <w:vMerge/>
            <w:vAlign w:val="center"/>
          </w:tcPr>
          <w:p w:rsidR="00A87655" w:rsidRDefault="00A87655" w:rsidP="00C41902">
            <w:pPr>
              <w:pStyle w:val="ListParagraph"/>
              <w:ind w:left="0"/>
              <w:jc w:val="center"/>
              <w:rPr>
                <w:iCs/>
                <w:color w:val="000000"/>
              </w:rPr>
            </w:pPr>
          </w:p>
        </w:tc>
        <w:tc>
          <w:tcPr>
            <w:tcW w:w="2365" w:type="dxa"/>
            <w:vMerge/>
          </w:tcPr>
          <w:p w:rsidR="00A87655" w:rsidRDefault="00A87655" w:rsidP="00C41902">
            <w:pPr>
              <w:pStyle w:val="ListParagraph"/>
              <w:ind w:left="0"/>
              <w:rPr>
                <w:iCs/>
                <w:color w:val="000000"/>
              </w:rPr>
            </w:pPr>
          </w:p>
        </w:tc>
        <w:tc>
          <w:tcPr>
            <w:tcW w:w="1559" w:type="dxa"/>
            <w:vAlign w:val="center"/>
          </w:tcPr>
          <w:p w:rsidR="00A87655" w:rsidRDefault="00A87655" w:rsidP="00C41902">
            <w:pPr>
              <w:pStyle w:val="ListParagraph"/>
              <w:ind w:left="0"/>
              <w:jc w:val="center"/>
              <w:rPr>
                <w:iCs/>
                <w:color w:val="000000"/>
              </w:rPr>
            </w:pPr>
            <w:r>
              <w:rPr>
                <w:iCs/>
                <w:color w:val="000000"/>
              </w:rPr>
              <w:t>A</w:t>
            </w:r>
          </w:p>
        </w:tc>
        <w:tc>
          <w:tcPr>
            <w:tcW w:w="1559" w:type="dxa"/>
            <w:vAlign w:val="bottom"/>
          </w:tcPr>
          <w:p w:rsidR="00A87655" w:rsidRPr="00796CB7" w:rsidRDefault="00A87655" w:rsidP="00C41902">
            <w:pPr>
              <w:pStyle w:val="ListParagraph"/>
              <w:ind w:left="0"/>
              <w:jc w:val="center"/>
              <w:rPr>
                <w:b/>
                <w:iCs/>
                <w:color w:val="000000"/>
              </w:rPr>
            </w:pPr>
            <w:r w:rsidRPr="00796CB7">
              <w:rPr>
                <w:b/>
                <w:iCs/>
                <w:color w:val="000000"/>
              </w:rPr>
              <w:t>B</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1</w:t>
            </w:r>
          </w:p>
        </w:tc>
        <w:tc>
          <w:tcPr>
            <w:tcW w:w="2365" w:type="dxa"/>
            <w:vAlign w:val="center"/>
          </w:tcPr>
          <w:p w:rsidR="00A87655" w:rsidRDefault="00A87655" w:rsidP="00C41902">
            <w:pPr>
              <w:pStyle w:val="ListParagraph"/>
              <w:ind w:left="0"/>
              <w:jc w:val="left"/>
              <w:rPr>
                <w:iCs/>
                <w:color w:val="000000"/>
              </w:rPr>
            </w:pPr>
            <w:r>
              <w:rPr>
                <w:iCs/>
                <w:color w:val="000000"/>
              </w:rPr>
              <w:t>Julie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2</w:t>
            </w:r>
          </w:p>
        </w:tc>
        <w:tc>
          <w:tcPr>
            <w:tcW w:w="2365" w:type="dxa"/>
            <w:vAlign w:val="center"/>
          </w:tcPr>
          <w:p w:rsidR="00A87655" w:rsidRDefault="00A87655" w:rsidP="00C41902">
            <w:pPr>
              <w:pStyle w:val="ListParagraph"/>
              <w:ind w:left="0"/>
              <w:jc w:val="left"/>
              <w:rPr>
                <w:iCs/>
                <w:color w:val="000000"/>
              </w:rPr>
            </w:pPr>
            <w:r>
              <w:rPr>
                <w:iCs/>
                <w:color w:val="000000"/>
              </w:rPr>
              <w:t>Loves</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3</w:t>
            </w:r>
          </w:p>
        </w:tc>
        <w:tc>
          <w:tcPr>
            <w:tcW w:w="2365" w:type="dxa"/>
            <w:vAlign w:val="center"/>
          </w:tcPr>
          <w:p w:rsidR="00A87655" w:rsidRDefault="00A87655" w:rsidP="00C41902">
            <w:pPr>
              <w:pStyle w:val="ListParagraph"/>
              <w:ind w:left="0"/>
              <w:jc w:val="left"/>
              <w:rPr>
                <w:iCs/>
                <w:color w:val="000000"/>
              </w:rPr>
            </w:pPr>
            <w:r>
              <w:rPr>
                <w:iCs/>
                <w:color w:val="000000"/>
              </w:rPr>
              <w:t>Me</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2</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4</w:t>
            </w:r>
          </w:p>
        </w:tc>
        <w:tc>
          <w:tcPr>
            <w:tcW w:w="2365" w:type="dxa"/>
            <w:vAlign w:val="center"/>
          </w:tcPr>
          <w:p w:rsidR="00A87655" w:rsidRDefault="00A87655" w:rsidP="00C41902">
            <w:pPr>
              <w:pStyle w:val="ListParagraph"/>
              <w:ind w:left="0"/>
              <w:jc w:val="left"/>
              <w:rPr>
                <w:iCs/>
                <w:color w:val="000000"/>
              </w:rPr>
            </w:pPr>
            <w:r>
              <w:rPr>
                <w:iCs/>
                <w:color w:val="000000"/>
              </w:rPr>
              <w:t>More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5</w:t>
            </w:r>
          </w:p>
        </w:tc>
        <w:tc>
          <w:tcPr>
            <w:tcW w:w="2365" w:type="dxa"/>
            <w:vAlign w:val="center"/>
          </w:tcPr>
          <w:p w:rsidR="00A87655" w:rsidRDefault="00A87655" w:rsidP="00C41902">
            <w:pPr>
              <w:pStyle w:val="ListParagraph"/>
              <w:ind w:left="0"/>
              <w:jc w:val="left"/>
              <w:rPr>
                <w:iCs/>
                <w:color w:val="000000"/>
              </w:rPr>
            </w:pPr>
            <w:r>
              <w:rPr>
                <w:iCs/>
                <w:color w:val="000000"/>
              </w:rPr>
              <w:t>Than</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6</w:t>
            </w:r>
          </w:p>
        </w:tc>
        <w:tc>
          <w:tcPr>
            <w:tcW w:w="2365" w:type="dxa"/>
            <w:vAlign w:val="center"/>
          </w:tcPr>
          <w:p w:rsidR="00A87655" w:rsidRDefault="00A87655" w:rsidP="00C41902">
            <w:pPr>
              <w:pStyle w:val="ListParagraph"/>
              <w:ind w:left="0"/>
              <w:jc w:val="left"/>
              <w:rPr>
                <w:iCs/>
                <w:color w:val="000000"/>
              </w:rPr>
            </w:pPr>
            <w:r>
              <w:rPr>
                <w:iCs/>
                <w:color w:val="000000"/>
              </w:rPr>
              <w:t>Linda</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0</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7</w:t>
            </w:r>
          </w:p>
        </w:tc>
        <w:tc>
          <w:tcPr>
            <w:tcW w:w="2365" w:type="dxa"/>
            <w:vAlign w:val="center"/>
          </w:tcPr>
          <w:p w:rsidR="00A87655" w:rsidRDefault="00A87655" w:rsidP="00C41902">
            <w:pPr>
              <w:pStyle w:val="ListParagraph"/>
              <w:ind w:left="0"/>
              <w:jc w:val="left"/>
              <w:rPr>
                <w:iCs/>
                <w:color w:val="000000"/>
              </w:rPr>
            </w:pPr>
            <w:r>
              <w:rPr>
                <w:iCs/>
                <w:color w:val="000000"/>
              </w:rPr>
              <w:t>Jane</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8</w:t>
            </w:r>
          </w:p>
        </w:tc>
        <w:tc>
          <w:tcPr>
            <w:tcW w:w="2365" w:type="dxa"/>
            <w:vAlign w:val="center"/>
          </w:tcPr>
          <w:p w:rsidR="00A87655" w:rsidRDefault="00A87655" w:rsidP="00C41902">
            <w:pPr>
              <w:pStyle w:val="ListParagraph"/>
              <w:ind w:left="0"/>
              <w:jc w:val="left"/>
              <w:rPr>
                <w:iCs/>
                <w:color w:val="000000"/>
              </w:rPr>
            </w:pPr>
            <w:r>
              <w:rPr>
                <w:iCs/>
                <w:color w:val="000000"/>
              </w:rPr>
              <w:t>Likes</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A87655" w:rsidRPr="00A87655" w:rsidRDefault="00A87655" w:rsidP="00A87655">
      <w:pPr>
        <w:rPr>
          <w:lang w:val="en-ID" w:eastAsia="id-ID"/>
        </w:rPr>
      </w:pPr>
      <w:r>
        <w:rPr>
          <w:noProof/>
        </w:rPr>
        <w:drawing>
          <wp:inline distT="0" distB="0" distL="0" distR="0" wp14:anchorId="51BD9387" wp14:editId="70D18B8A">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sidR="00D27E56">
        <w:rPr>
          <w:i/>
          <w:lang w:val="id-ID" w:eastAsia="id-ID"/>
        </w:rPr>
        <w:t xml:space="preserve"> </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D27E56">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A87655" w:rsidRDefault="00A87655"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sidR="00D27E56">
        <w:rPr>
          <w:i/>
          <w:lang w:val="id-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sidR="00D27E56">
        <w:rPr>
          <w:i/>
          <w:lang w:val="id-ID" w:eastAsia="id-ID"/>
        </w:rPr>
        <w:t xml:space="preserve"> </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rsidR="00D27E56">
        <w:rPr>
          <w:lang w:val="id-ID"/>
        </w:rP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300733"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D27E56">
        <w:rPr>
          <w:lang w:val="id-ID"/>
        </w:rPr>
        <w:t xml:space="preserve"> </w:t>
      </w:r>
      <w:r w:rsidRPr="00E57FB9">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4" o:title=""/>
                </v:shape>
                <o:OLEObject Type="Embed" ProgID="PBrush" ShapeID="_x0000_i1025" DrawAspect="Content" ObjectID="_1639830627" r:id="rId25"/>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BC21FE">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Menurut Rizky (2011:261), “White box testing secara umum merupakan jenis testing yang lebih berkonsentrasi terhadap isi dari perangkat lunak itu sendiri”. Jenis ini lebih banyak berkonsentrasi kepada source code dari perangkat lunak yang dibuat sehingga membutuhkanproses testing yang jauh lebih lama dan lebih “mahal” dikarenakan membutuhkanketelitian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t xml:space="preserve"> </w:t>
      </w:r>
      <w:r w:rsidRPr="009C024B">
        <w:t>Pemerintahan Daerah menyebutkan bahwa pengertian Dewan Perwakilan</w:t>
      </w:r>
      <w:r>
        <w:t xml:space="preserve"> </w:t>
      </w:r>
      <w:r w:rsidRPr="009C024B">
        <w:t>Rakyat Daerah yang selanjutnya disebut DPRD adalah lembaga perwakilan</w:t>
      </w:r>
      <w:r>
        <w:t xml:space="preserve"> </w:t>
      </w:r>
      <w:r w:rsidRPr="009C024B">
        <w:t>rakyat daerah sebagai unsur penyelenggara pemerintah daerah. Miriam</w:t>
      </w:r>
      <w:r>
        <w:t xml:space="preserve"> </w:t>
      </w:r>
      <w:r w:rsidRPr="009C024B">
        <w:t>Budiarjo dalam Baskoro (2005;30) menyebutkan DPRD adalah lembaga</w:t>
      </w:r>
      <w:r>
        <w:t xml:space="preserve"> </w:t>
      </w:r>
      <w:r w:rsidRPr="009C024B">
        <w:t>legislate atau membuat peraturan, peraturan perundang-undangan yang</w:t>
      </w:r>
      <w:r>
        <w:t xml:space="preserve"> </w:t>
      </w:r>
      <w:r w:rsidRPr="009C024B">
        <w:t>dibuatnya mencerminkan kebijakan-kebijakan itu.</w:t>
      </w:r>
    </w:p>
    <w:p w:rsidR="00406EED" w:rsidRDefault="00406EED" w:rsidP="00406EED">
      <w:pPr>
        <w:pStyle w:val="ListParagraph"/>
        <w:ind w:left="0" w:firstLine="709"/>
      </w:pPr>
      <w:r>
        <w:t>Pada DPRD Kota Makassar</w:t>
      </w:r>
      <w:r w:rsidR="00366851">
        <w:t xml:space="preserve"> terdapat beberapa komisi yang masing – masing mempunyai tugas yang berbeda diantaranya :</w:t>
      </w:r>
    </w:p>
    <w:p w:rsidR="00366851" w:rsidRDefault="00366851" w:rsidP="00366851">
      <w:pPr>
        <w:pStyle w:val="ListParagraph"/>
        <w:numPr>
          <w:ilvl w:val="0"/>
          <w:numId w:val="38"/>
        </w:numPr>
      </w:pPr>
      <w:r w:rsidRPr="00366851">
        <w:t>Komisi A Bidang Hukum, Pemerintahan, Dan Aset</w:t>
      </w:r>
    </w:p>
    <w:p w:rsidR="00366851" w:rsidRDefault="00366851" w:rsidP="00366851">
      <w:pPr>
        <w:pStyle w:val="ListParagraph"/>
        <w:ind w:left="1069"/>
      </w:pPr>
    </w:p>
    <w:p w:rsidR="00366851" w:rsidRDefault="00366851" w:rsidP="00366851">
      <w:pPr>
        <w:pStyle w:val="ListParagraph"/>
        <w:numPr>
          <w:ilvl w:val="0"/>
          <w:numId w:val="38"/>
        </w:numPr>
      </w:pPr>
      <w:r w:rsidRPr="00366851">
        <w:t>Komisi B Bidang Keuangan Dan Ekonomi</w:t>
      </w:r>
    </w:p>
    <w:p w:rsidR="00366851" w:rsidRDefault="00366851" w:rsidP="00366851">
      <w:pPr>
        <w:pStyle w:val="ListParagraph"/>
        <w:numPr>
          <w:ilvl w:val="0"/>
          <w:numId w:val="38"/>
        </w:numPr>
      </w:pPr>
      <w:r w:rsidRPr="00366851">
        <w:t>Komisi C Bidang Pembangunan</w:t>
      </w:r>
    </w:p>
    <w:p w:rsidR="00406EED" w:rsidRPr="00366851" w:rsidRDefault="00366851" w:rsidP="00366851">
      <w:pPr>
        <w:pStyle w:val="ListParagraph"/>
        <w:numPr>
          <w:ilvl w:val="0"/>
          <w:numId w:val="38"/>
        </w:numPr>
      </w:pPr>
      <w:r w:rsidRPr="00366851">
        <w:t>Komisi D Bidang Pendidikan Dan Kesejahteraan Masyarakat</w:t>
      </w:r>
      <w:bookmarkStart w:id="0" w:name="_GoBack"/>
      <w:bookmarkEnd w:id="0"/>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w:t>
      </w:r>
      <w:r w:rsidR="005B6146">
        <w:rPr>
          <w:color w:val="000000"/>
        </w:rPr>
        <w:lastRenderedPageBreak/>
        <w:t>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D07941">
        <w:rPr>
          <w:i/>
          <w:color w:val="000000"/>
          <w:lang w:val="id-ID"/>
        </w:rPr>
        <w:t xml:space="preserve"> </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lastRenderedPageBreak/>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D07941">
        <w:rPr>
          <w:lang w:val="id-ID"/>
        </w:rPr>
        <w:t xml:space="preserve"> </w:t>
      </w:r>
      <w:r w:rsidR="00190931">
        <w:t>pembimbing berupa keahlian dosen pembimbing, tugas akhir yang pernah dibimbing oleh dosen. Kemudian metode</w:t>
      </w:r>
      <w:r w:rsidR="00AB5DCF">
        <w:rPr>
          <w:lang w:val="id-ID"/>
        </w:rPr>
        <w:t xml:space="preserve"> </w:t>
      </w:r>
      <w:r w:rsidR="00C62B89">
        <w:rPr>
          <w:i/>
        </w:rPr>
        <w:t>Cosine Simila</w:t>
      </w:r>
      <w:r w:rsidR="00190931" w:rsidRPr="0010435A">
        <w:rPr>
          <w:i/>
        </w:rPr>
        <w:t>rity</w:t>
      </w:r>
      <w:r w:rsidR="00131542">
        <w:rPr>
          <w:i/>
          <w:lang w:val="id-ID"/>
        </w:rPr>
        <w:t xml:space="preserve"> </w:t>
      </w:r>
      <w:r w:rsidR="00190931">
        <w:t>akan memnghitung tingkat kesamaan kedua query tersebut. Nilai kemiripan yang tertinggi akan</w:t>
      </w:r>
      <w:r w:rsidR="00D07941">
        <w:rPr>
          <w:lang w:val="id-ID"/>
        </w:rPr>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733" w:rsidRDefault="00300733" w:rsidP="00957A93">
      <w:pPr>
        <w:spacing w:line="240" w:lineRule="auto"/>
      </w:pPr>
      <w:r>
        <w:separator/>
      </w:r>
    </w:p>
  </w:endnote>
  <w:endnote w:type="continuationSeparator" w:id="0">
    <w:p w:rsidR="00300733" w:rsidRDefault="00300733"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733" w:rsidRDefault="00300733" w:rsidP="00957A93">
      <w:pPr>
        <w:spacing w:line="240" w:lineRule="auto"/>
      </w:pPr>
      <w:r>
        <w:separator/>
      </w:r>
    </w:p>
  </w:footnote>
  <w:footnote w:type="continuationSeparator" w:id="0">
    <w:p w:rsidR="00300733" w:rsidRDefault="00300733"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6E2394" w:rsidRPr="00363610" w:rsidRDefault="00A8363D">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366851">
          <w:rPr>
            <w:noProof/>
            <w:sz w:val="22"/>
            <w:szCs w:val="22"/>
          </w:rPr>
          <w:t>24</w:t>
        </w:r>
        <w:r w:rsidRPr="00363610">
          <w:rPr>
            <w:noProof/>
            <w:sz w:val="22"/>
            <w:szCs w:val="22"/>
          </w:rPr>
          <w:fldChar w:fldCharType="end"/>
        </w:r>
      </w:p>
    </w:sdtContent>
  </w:sdt>
  <w:p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5">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1">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2">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33"/>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2"/>
  </w:num>
  <w:num w:numId="17">
    <w:abstractNumId w:val="43"/>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5"/>
  </w:num>
  <w:num w:numId="30">
    <w:abstractNumId w:val="42"/>
  </w:num>
  <w:num w:numId="31">
    <w:abstractNumId w:val="18"/>
  </w:num>
  <w:num w:numId="32">
    <w:abstractNumId w:val="25"/>
  </w:num>
  <w:num w:numId="33">
    <w:abstractNumId w:val="40"/>
  </w:num>
  <w:num w:numId="34">
    <w:abstractNumId w:val="9"/>
  </w:num>
  <w:num w:numId="35">
    <w:abstractNumId w:val="38"/>
  </w:num>
  <w:num w:numId="36">
    <w:abstractNumId w:val="41"/>
  </w:num>
  <w:num w:numId="37">
    <w:abstractNumId w:val="19"/>
  </w:num>
  <w:num w:numId="3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0733"/>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6851"/>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024B"/>
    <w:rsid w:val="009C4922"/>
    <w:rsid w:val="009C6202"/>
    <w:rsid w:val="009D113C"/>
    <w:rsid w:val="009D29DD"/>
    <w:rsid w:val="009F135C"/>
    <w:rsid w:val="00A10019"/>
    <w:rsid w:val="00A22D5C"/>
    <w:rsid w:val="00A23A3D"/>
    <w:rsid w:val="00A260C7"/>
    <w:rsid w:val="00A31582"/>
    <w:rsid w:val="00A34FF7"/>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401"/>
        <o:r id="V:Rule2" type="connector" idref="#AutoShape 400"/>
        <o:r id="V:Rule3" type="connector" idref="#_x0000_s1042"/>
      </o:rules>
    </o:shapelayout>
  </w:shapeDefaults>
  <w:decimalSymbol w:val=","/>
  <w:listSeparator w:val=";"/>
  <w15:docId w15:val="{5DB6CE2C-C5DB-447D-A155-1D7D24E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1.bp.blogspot.com/-ElOpXzQNKiM/VR5EsB4cWaI/AAAAAAAAAUE/DS8j4PXysQg/s1600/Snap+2015-04-03+at+14.43.20.p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hyperlink" Target="http://1.bp.blogspot.com/-GCiv3UbwSrY/VR5EVrJ5qYI/AAAAAAAAAT0/TN8iV3FI4qM/s1600/Snap+2015-04-03+at+14.41.14.png"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3.bp.blogspot.com/-KrBdyBTW1hc/VR5D8nFNnxI/AAAAAAAAATs/Z2C3ZZSctRE/s1600/Snap+2015-04-03+at+14.40.20.p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hyperlink" Target="http://3.bp.blogspot.com/-erqoC86gu38/VR5EqWRg5-I/AAAAAAAAAT8/PYCgrIvnajU/s1600/Snap+2015-04-03+at+14.42.51.png" TargetMode="External"/><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4.bp.blogspot.com/-zHROgHCpdrs/VR4yxlZgtwI/AAAAAAAAAS4/wPElhz9EWeU/s1600/Snap+2015-04-03+at+13.13.47.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2.bp.blogspot.com/-ONANWqL3deg/VR5DiCMv1pI/AAAAAAAAATk/yo54xjtEtgE/s1600/Snap+2015-04-03+at+14.23.03.png" TargetMode="External"/><Relationship Id="rId30" Type="http://schemas.openxmlformats.org/officeDocument/2006/relationships/image" Target="media/image20.png"/><Relationship Id="rId35" Type="http://schemas.openxmlformats.org/officeDocument/2006/relationships/hyperlink" Target="http://1.bp.blogspot.com/-cKyffPtNDlo/VR4z51D8JqI/AAAAAAAAATM/sCjErS4-O6g/s1600/Snap+2015-04-03+at+13.14.52.png"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D637-BEE2-4F6D-88A3-AC6F865B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19</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21055</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59</cp:revision>
  <cp:lastPrinted>2019-10-12T08:07:00Z</cp:lastPrinted>
  <dcterms:created xsi:type="dcterms:W3CDTF">2019-08-24T07:25:00Z</dcterms:created>
  <dcterms:modified xsi:type="dcterms:W3CDTF">2020-01-06T07:44:00Z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