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PRESENTATION MANUSCRIPT</w:t>
      </w:r>
    </w:p>
    <w:p>
      <w:pPr>
        <w:jc w:val="center"/>
      </w:pPr>
      <w:r>
        <w:rPr>
          <w:b/>
          <w:sz w:val="26"/>
        </w:rPr>
        <w:t>Member 1 — Section 3: Partial Equilibrium European Gas Market Model</w:t>
      </w:r>
    </w:p>
    <w:p>
      <w:pPr>
        <w:jc w:val="center"/>
      </w:pPr>
      <w:r>
        <w:rPr>
          <w:color w:val="444444"/>
          <w:sz w:val="20"/>
        </w:rPr>
        <w:t>Who Gains When Gas Prices Surge?</w:t>
        <w:br/>
        <w:t>A Welfare Analysis of Norway's Gas Economy Under the Ukraine War Supply Shock</w:t>
        <w:br/>
        <w:t>EBA3650 Quantitative Economics · BI Norwegian Business School · Spring 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1A3A5C"/>
        </w:rPr>
        <w:t>0. Your Place in the Big Picture</w:t>
      </w:r>
    </w:p>
    <w:p>
      <w:r>
        <w:rPr>
          <w:sz w:val="22"/>
        </w:rPr>
        <w:t xml:space="preserve">The group's project asks one overarching question: </w:t>
      </w:r>
      <w:r>
        <w:rPr>
          <w:b/>
          <w:sz w:val="22"/>
        </w:rPr>
        <w:t>Does Norway benefit from the war-induced gas price surge — and who within Norway captures the gains?</w:t>
      </w:r>
      <w:r>
        <w:rPr>
          <w:sz w:val="22"/>
        </w:rPr>
        <w:t xml:space="preserve"> The answer requires four analytical building blocks, one per member.</w:t>
      </w:r>
    </w:p>
    <w:p/>
    <w:p>
      <w:r>
        <w:rPr>
          <w:sz w:val="22"/>
        </w:rPr>
      </w:r>
      <w:r>
        <w:rPr>
          <w:b/>
          <w:sz w:val="22"/>
        </w:rPr>
        <w:t>Group presentation road-map:</w:t>
      </w:r>
      <w:r>
        <w:rPr>
          <w:sz w:val="22"/>
        </w:rPr>
      </w:r>
    </w:p>
    <w:p>
      <w:pPr>
        <w:pStyle w:val="ListBullet"/>
        <w:ind w:left="432"/>
      </w:pPr>
      <w:r>
        <w:rPr>
          <w:sz w:val="22"/>
        </w:rPr>
        <w:t>Member 1 (YOU) — Section 3: Build the market model. Show what happened to prices and quantities, and compute the raw windfall (producer surplus).</w:t>
      </w:r>
    </w:p>
    <w:p>
      <w:pPr>
        <w:pStyle w:val="ListBullet"/>
        <w:ind w:left="432"/>
      </w:pPr>
      <w:r>
        <w:rPr>
          <w:sz w:val="22"/>
        </w:rPr>
        <w:t>Member 2 — Section 4: Use the producer surplus from Section 3 to measure how much Norwegian consumers lost (compensating variation).</w:t>
      </w:r>
    </w:p>
    <w:p>
      <w:pPr>
        <w:pStyle w:val="ListBullet"/>
        <w:ind w:left="432"/>
      </w:pPr>
      <w:r>
        <w:rPr>
          <w:sz w:val="22"/>
        </w:rPr>
        <w:t>Member 3 — Section 5: Layer the 78 % petroleum tax on top to split the PS windfall between the state and firms, and ask 'who gains most?'</w:t>
      </w:r>
    </w:p>
    <w:p>
      <w:pPr>
        <w:pStyle w:val="ListBullet"/>
        <w:ind w:left="432"/>
      </w:pPr>
      <w:r>
        <w:rPr>
          <w:sz w:val="22"/>
        </w:rPr>
        <w:t>Member 4 — Sections 1-2, 6-7: Provide context, stress-test all results via sensitivity analysis, and deliver the conclusion.</w:t>
      </w:r>
    </w:p>
    <w:p/>
    <w:p>
      <w:r>
        <w:rPr>
          <w:sz w:val="22"/>
        </w:rPr>
      </w:r>
      <w:r>
        <w:rPr>
          <w:b/>
          <w:sz w:val="22"/>
        </w:rPr>
        <w:t>Your section is the engine room.</w:t>
      </w:r>
      <w:r>
        <w:rPr>
          <w:sz w:val="22"/>
        </w:rPr>
        <w:t xml:space="preserve"> Without a calibrated market equilibrium, no one else can compute their numbers. Make sure the audience understands why the model is set up the way it is before presenting the results.</w:t>
      </w:r>
    </w:p>
    <w:p>
      <w:pPr>
        <w:ind w:left="576" w:right="576"/>
      </w:pPr>
      <w:r>
        <w:rPr>
          <w:i/>
          <w:color w:val="606060"/>
          <w:sz w:val="20"/>
        </w:rPr>
        <w:t>[SPEAKER NOTE] Transition to the group: start by reminding the audience of the research question (slide/poster already shown). Say: 'To answer this question we need to know what actually happened in the European gas market — that is what I will show you now.'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1A3A5C"/>
        </w:rPr>
        <w:t>Section 3 — Partial Equilibrium European Gas Market Model</w:t>
      </w:r>
    </w:p>
    <w:p>
      <w:r>
        <w:rPr>
          <w:sz w:val="22"/>
        </w:rPr>
        <w:t>Estimated speaking time: 5–7 minutes   |   Visual cues: market diagram → shock diagram → PS diagrams</w:t>
      </w:r>
    </w:p>
    <w:p/>
    <w:p>
      <w:pPr>
        <w:pStyle w:val="Heading2"/>
        <w:jc w:val="left"/>
      </w:pPr>
      <w:r>
        <w:t>3.0  Opening Hook (30 seconds)</w:t>
      </w:r>
    </w:p>
    <w:p>
      <w:r>
        <w:rPr>
          <w:sz w:val="22"/>
        </w:rPr>
      </w:r>
      <w:r>
        <w:rPr>
          <w:b/>
          <w:sz w:val="22"/>
        </w:rPr>
        <w:t>Say verbatim or in your own words:</w:t>
      </w:r>
      <w:r>
        <w:rPr>
          <w:sz w:val="22"/>
        </w:rPr>
      </w:r>
    </w:p>
    <w:p>
      <w:pPr>
        <w:ind w:left="576" w:right="576"/>
      </w:pPr>
      <w:r>
        <w:rPr>
          <w:i/>
          <w:sz w:val="22"/>
        </w:rPr>
        <w:t>"In August 2022, the TTF gas price touched 300 euros per megawatt-hour — fifteen times the pre-war average. My job is to translate that real-world event into a mathematical model so we can measure exactly how much money Norway made from that shock."</w:t>
      </w:r>
    </w:p>
    <w:p>
      <w:pPr>
        <w:ind w:left="576" w:right="576"/>
      </w:pPr>
      <w:r>
        <w:rPr>
          <w:i/>
          <w:color w:val="606060"/>
          <w:sz w:val="20"/>
        </w:rPr>
        <w:t>[SPEAKER NOTE] This line links back to the research question slide. It tells the audience you are doing quantitative work, not just describing history.</w:t>
      </w:r>
    </w:p>
    <w:p/>
    <w:p>
      <w:pPr>
        <w:pStyle w:val="Heading2"/>
        <w:jc w:val="left"/>
      </w:pPr>
      <w:r>
        <w:t>3.1  Model Set-Up — Constant-Elasticity Supply and Demand (1.5 min)</w:t>
      </w:r>
    </w:p>
    <w:p>
      <w:r>
        <w:rPr>
          <w:sz w:val="22"/>
        </w:rPr>
        <w:t xml:space="preserve">We model the European gas market using </w:t>
      </w:r>
      <w:r>
        <w:rPr>
          <w:b/>
          <w:sz w:val="22"/>
        </w:rPr>
        <w:t>constant-elasticity supply and demand curves</w:t>
      </w:r>
      <w:r>
        <w:rPr>
          <w:sz w:val="22"/>
        </w:rPr>
        <w:t xml:space="preserve"> — the standard tool from Sessions 2 and 3 of this course.</w:t>
      </w:r>
    </w:p>
    <w:p/>
    <w:p>
      <w:r>
        <w:rPr>
          <w:sz w:val="22"/>
        </w:rPr>
      </w:r>
      <w:r>
        <w:rPr>
          <w:b/>
          <w:sz w:val="22"/>
        </w:rPr>
        <w:t>The two functions are:</w:t>
      </w:r>
      <w:r>
        <w:rPr>
          <w:sz w:val="22"/>
        </w:rPr>
      </w:r>
    </w:p>
    <w:p>
      <w:pPr>
        <w:pStyle w:val="ListBullet"/>
        <w:ind w:left="432"/>
      </w:pPr>
      <w:r>
        <w:rPr>
          <w:sz w:val="22"/>
        </w:rPr>
        <w:t>Demand:   Q_d(P) = A_d · P^(ε_d)     where ε_d &lt; 0  (downward-sloping)</w:t>
      </w:r>
    </w:p>
    <w:p>
      <w:pPr>
        <w:pStyle w:val="ListBullet"/>
        <w:ind w:left="432"/>
      </w:pPr>
      <w:r>
        <w:rPr>
          <w:sz w:val="22"/>
        </w:rPr>
        <w:t>Supply:   Q_s(P) = A_s · P^(ε_s)     where ε_s &gt; 0  (upward-sloping)</w:t>
      </w:r>
    </w:p>
    <w:p/>
    <w:p>
      <w:r>
        <w:rPr>
          <w:sz w:val="22"/>
        </w:rPr>
      </w:r>
      <w:r>
        <w:rPr>
          <w:b/>
          <w:sz w:val="22"/>
        </w:rPr>
        <w:t>Why this functional form?</w:t>
      </w:r>
      <w:r>
        <w:rPr>
          <w:sz w:val="22"/>
        </w:rPr>
      </w:r>
    </w:p>
    <w:p>
      <w:pPr>
        <w:pStyle w:val="ListBullet"/>
        <w:ind w:left="432"/>
      </w:pPr>
      <w:r>
        <w:rPr>
          <w:sz w:val="22"/>
        </w:rPr>
        <w:t>The elasticity is constant at every point — useful when you only have one data point to calibrate.</w:t>
      </w:r>
    </w:p>
    <w:p>
      <w:pPr>
        <w:pStyle w:val="ListBullet"/>
        <w:ind w:left="432"/>
      </w:pPr>
      <w:r>
        <w:rPr>
          <w:sz w:val="22"/>
        </w:rPr>
        <w:t xml:space="preserve">The math is clean: </w:t>
      </w:r>
      <w:r>
        <w:rPr>
          <w:b/>
          <w:sz w:val="22"/>
        </w:rPr>
        <w:t>equilibrium can be solved analytically or numerically</w:t>
      </w:r>
      <w:r>
        <w:rPr>
          <w:sz w:val="22"/>
        </w:rPr>
        <w:t xml:space="preserve"> with a single equation.</w:t>
      </w:r>
    </w:p>
    <w:p>
      <w:pPr>
        <w:pStyle w:val="ListBullet"/>
        <w:ind w:left="432"/>
      </w:pPr>
      <w:r>
        <w:rPr>
          <w:sz w:val="22"/>
        </w:rPr>
        <w:t xml:space="preserve">It is the form used in the course's numerical sessions (Session 2–3), which is why we can apply the </w:t>
      </w:r>
      <w:r>
        <w:rPr>
          <w:b/>
          <w:sz w:val="22"/>
        </w:rPr>
        <w:t>secant method</w:t>
      </w:r>
      <w:r>
        <w:rPr>
          <w:sz w:val="22"/>
        </w:rPr>
        <w:t xml:space="preserve"> directly.</w:t>
      </w:r>
    </w:p>
    <w:p/>
    <w:p>
      <w:r>
        <w:rPr>
          <w:sz w:val="22"/>
        </w:rPr>
      </w:r>
      <w:r>
        <w:rPr>
          <w:b/>
          <w:sz w:val="22"/>
        </w:rPr>
        <w:t>Calibration — the key step most people skip over:</w:t>
      </w:r>
      <w:r>
        <w:rPr>
          <w:sz w:val="22"/>
        </w:rPr>
      </w:r>
    </w:p>
    <w:p>
      <w:r>
        <w:rPr>
          <w:sz w:val="22"/>
        </w:rPr>
        <w:t xml:space="preserve">We choose the scale parameters A_d and A_s so that both curves pass through the pre-war baseline: </w:t>
      </w:r>
      <w:r>
        <w:rPr>
          <w:b/>
          <w:sz w:val="22"/>
        </w:rPr>
        <w:t>P₀ = 20 EUR/MWh</w:t>
      </w:r>
      <w:r>
        <w:rPr>
          <w:sz w:val="22"/>
        </w:rPr>
        <w:t xml:space="preserve"> and </w:t>
      </w:r>
      <w:r>
        <w:rPr>
          <w:b/>
          <w:sz w:val="22"/>
        </w:rPr>
        <w:t>Q₀ = 4 000 TWh/year</w:t>
      </w:r>
      <w:r>
        <w:rPr>
          <w:sz w:val="22"/>
        </w:rPr>
        <w:t>. This gives:  A = Q₀ / P₀^ε  for each curve.</w:t>
      </w:r>
    </w:p>
    <w:p>
      <w:pPr>
        <w:pStyle w:val="ListBullet"/>
        <w:ind w:left="432"/>
      </w:pPr>
      <w:r>
        <w:rPr>
          <w:sz w:val="22"/>
        </w:rPr>
        <w:t>ε_d = −0.30  (short-run gas demand is inelastic — households cannot switch overnight)</w:t>
      </w:r>
    </w:p>
    <w:p>
      <w:pPr>
        <w:pStyle w:val="ListBullet"/>
        <w:ind w:left="432"/>
      </w:pPr>
      <w:r>
        <w:rPr>
          <w:sz w:val="22"/>
        </w:rPr>
        <w:t>ε_s =  0.35  (short-run supply is also inelastic — pipeline capacity is fixed in the short run)</w:t>
      </w:r>
    </w:p>
    <w:p>
      <w:pPr>
        <w:ind w:left="576" w:right="576"/>
      </w:pPr>
      <w:r>
        <w:rPr>
          <w:i/>
          <w:color w:val="606060"/>
          <w:sz w:val="20"/>
        </w:rPr>
        <w:t>[SPEAKER NOTE] Point at the pre-war equilibrium diagram here. Say: 'Both curves cross exactly at P₀ = 20 and Q₀ = 4 000 by construction. This is our starting point.'</w:t>
      </w:r>
    </w:p>
    <w:p/>
    <w:p>
      <w:pPr>
        <w:pStyle w:val="Heading2"/>
        <w:jc w:val="left"/>
      </w:pPr>
      <w:r>
        <w:t>3.2  Modelling the Russian Supply Shock (1.5 min)</w:t>
      </w:r>
    </w:p>
    <w:p>
      <w:r>
        <w:rPr>
          <w:sz w:val="22"/>
        </w:rPr>
        <w:t xml:space="preserve">The invasion curtailed Russian pipeline gas. Russia held about </w:t>
      </w:r>
      <w:r>
        <w:rPr>
          <w:b/>
          <w:sz w:val="22"/>
        </w:rPr>
        <w:t>40 % of European supply</w:t>
      </w:r>
      <w:r>
        <w:rPr>
          <w:sz w:val="22"/>
        </w:rPr>
        <w:t xml:space="preserve"> before the war. We model this as a </w:t>
      </w:r>
      <w:r>
        <w:rPr>
          <w:b/>
          <w:sz w:val="22"/>
        </w:rPr>
        <w:t>leftward shift</w:t>
      </w:r>
      <w:r>
        <w:rPr>
          <w:sz w:val="22"/>
        </w:rPr>
        <w:t xml:space="preserve"> of the total supply curve:</w:t>
      </w:r>
    </w:p>
    <w:p>
      <w:pPr>
        <w:ind w:left="576"/>
      </w:pPr>
      <w:r>
        <w:rPr>
          <w:rFonts w:ascii="Courier New" w:hAnsi="Courier New"/>
          <w:sz w:val="22"/>
        </w:rPr>
        <w:t>Q_s^post(P) = (1 − δ) · A_s · P^(ε_s)     with  δ = 0.40</w:t>
      </w:r>
    </w:p>
    <w:p/>
    <w:p>
      <w:r>
        <w:rPr>
          <w:sz w:val="22"/>
        </w:rPr>
        <w:t>Two points to make explicit:</w:t>
      </w:r>
    </w:p>
    <w:p>
      <w:pPr>
        <w:pStyle w:val="ListBullet"/>
        <w:ind w:left="432"/>
      </w:pPr>
      <w:r>
        <w:rPr>
          <w:sz w:val="22"/>
        </w:rPr>
        <w:t xml:space="preserve">The shock removes Russian supply. </w:t>
      </w:r>
      <w:r>
        <w:rPr>
          <w:b/>
          <w:sz w:val="22"/>
        </w:rPr>
        <w:t>Norwegian supply is unchanged</w:t>
      </w:r>
      <w:r>
        <w:rPr>
          <w:sz w:val="22"/>
        </w:rPr>
        <w:t xml:space="preserve"> — Norway still faces the same supply curve A_NO · P^(ε_s).</w:t>
      </w:r>
    </w:p>
    <w:p>
      <w:pPr>
        <w:pStyle w:val="ListBullet"/>
        <w:ind w:left="432"/>
      </w:pPr>
      <w:r>
        <w:rPr>
          <w:sz w:val="22"/>
        </w:rPr>
        <w:t xml:space="preserve">But the market-clearing price rises, so </w:t>
      </w:r>
      <w:r>
        <w:rPr>
          <w:b/>
          <w:sz w:val="22"/>
        </w:rPr>
        <w:t>Norway now sells its existing output at a much higher price</w:t>
      </w:r>
      <w:r>
        <w:rPr>
          <w:sz w:val="22"/>
        </w:rPr>
        <w:t xml:space="preserve"> and can expand slightly along its supply curve.</w:t>
      </w:r>
    </w:p>
    <w:p/>
    <w:p>
      <w:r>
        <w:rPr>
          <w:sz w:val="22"/>
        </w:rPr>
      </w:r>
      <w:r>
        <w:rPr>
          <w:b/>
          <w:sz w:val="22"/>
        </w:rPr>
        <w:t>Solving for the new equilibrium:</w:t>
      </w:r>
      <w:r>
        <w:rPr>
          <w:sz w:val="22"/>
        </w:rPr>
      </w:r>
    </w:p>
    <w:p>
      <w:r>
        <w:rPr>
          <w:sz w:val="22"/>
        </w:rPr>
        <w:t xml:space="preserve">We set Q_d(P) = Q_s^post(P) and solve for P₁. We use our own </w:t>
      </w:r>
      <w:r>
        <w:rPr>
          <w:b/>
          <w:sz w:val="22"/>
        </w:rPr>
        <w:t>secant solver from Session 3</w:t>
      </w:r>
      <w:r>
        <w:rPr>
          <w:sz w:val="22"/>
        </w:rPr>
        <w:t xml:space="preserve">, then verify with </w:t>
      </w:r>
      <w:r>
        <w:rPr>
          <w:b/>
          <w:sz w:val="22"/>
        </w:rPr>
        <w:t>scipy.optimize.bisect</w:t>
      </w:r>
      <w:r>
        <w:rPr>
          <w:sz w:val="22"/>
        </w:rPr>
        <w:t>.</w:t>
      </w:r>
    </w:p>
    <w:p>
      <w:r>
        <w:rPr>
          <w:sz w:val="22"/>
        </w:rPr>
        <w:t>Results under the baseline parameters:</w:t>
      </w:r>
    </w:p>
    <w:p>
      <w:pPr>
        <w:pStyle w:val="ListBullet"/>
        <w:ind w:left="432"/>
      </w:pPr>
      <w:r>
        <w:rPr>
          <w:sz w:val="22"/>
        </w:rPr>
        <w:t>Pre-war:    P₀ = 20 EUR/MWh,  Q₀ = 4 000 TWh/yr</w:t>
      </w:r>
    </w:p>
    <w:p>
      <w:pPr>
        <w:pStyle w:val="ListBullet"/>
        <w:ind w:left="432"/>
      </w:pPr>
      <w:r>
        <w:rPr>
          <w:sz w:val="22"/>
        </w:rPr>
        <w:t>Post-shock: P₁ ≈ 43.9 EUR/MWh,  Q₁ ≈ 3 650 TWh/yr</w:t>
      </w:r>
    </w:p>
    <w:p>
      <w:pPr>
        <w:pStyle w:val="ListBullet"/>
        <w:ind w:left="432"/>
      </w:pPr>
      <w:r>
        <w:rPr>
          <w:sz w:val="22"/>
        </w:rPr>
        <w:t>Price increase: +119 %  |  Quantity decrease: −8.7 %</w:t>
      </w:r>
    </w:p>
    <w:p>
      <w:pPr>
        <w:ind w:left="576" w:right="576"/>
      </w:pPr>
      <w:r>
        <w:rPr>
          <w:i/>
          <w:color w:val="606060"/>
          <w:sz w:val="20"/>
        </w:rPr>
        <w:t>[SPEAKER NOTE] Show the 'before vs. after' diagram. Note that Q falls only modestly because both demand and supply are inelastic — the big effect is on price, not quantity. Both solvers agree to near machine precision, confirming the calculation is correct.</w:t>
      </w:r>
    </w:p>
    <w:p>
      <w:r>
        <w:rPr>
          <w:sz w:val="22"/>
        </w:rPr>
      </w:r>
      <w:r>
        <w:rPr>
          <w:b/>
          <w:sz w:val="22"/>
        </w:rPr>
        <w:t>Reality check:</w:t>
      </w:r>
      <w:r>
        <w:rPr>
          <w:sz w:val="22"/>
        </w:rPr>
        <w:t xml:space="preserve"> TTF prices in practice were much higher (300 EUR/MWh at peak). Our model captures the structural direction, not the speculative overshoot. We use a realistic 'medium-run' price of ≈ 44 EUR/MWh, consistent with annual averages.</w:t>
      </w:r>
    </w:p>
    <w:p/>
    <w:p>
      <w:pPr>
        <w:pStyle w:val="Heading2"/>
        <w:jc w:val="left"/>
      </w:pPr>
      <w:r>
        <w:t>3.3  Norwegian Producer Surplus — Analytical and Numerical (2 min)</w:t>
      </w:r>
    </w:p>
    <w:p>
      <w:r>
        <w:rPr>
          <w:sz w:val="22"/>
        </w:rPr>
        <w:t xml:space="preserve">Now we compute the actual monetary gain to Norwegian gas producers — </w:t>
      </w:r>
      <w:r>
        <w:rPr>
          <w:b/>
          <w:sz w:val="22"/>
        </w:rPr>
        <w:t>the number that drives everything else</w:t>
      </w:r>
      <w:r>
        <w:rPr>
          <w:sz w:val="22"/>
        </w:rPr>
        <w:t xml:space="preserve"> in the project.</w:t>
      </w:r>
    </w:p>
    <w:p/>
    <w:p>
      <w:r>
        <w:rPr>
          <w:sz w:val="22"/>
        </w:rPr>
        <w:t>Definition of producer surplus:</w:t>
      </w:r>
    </w:p>
    <w:p>
      <w:r>
        <w:rPr>
          <w:sz w:val="22"/>
        </w:rPr>
      </w:r>
      <w:r>
        <w:rPr>
          <w:sz w:val="22"/>
        </w:rPr>
      </w:r>
      <w:r>
        <w:rPr>
          <w:sz w:val="22"/>
        </w:rPr>
        <w:t>P</w:t>
      </w:r>
      <w:r>
        <w:rPr>
          <w:sz w:val="22"/>
        </w:rPr>
      </w:r>
      <w:r>
        <w:rPr>
          <w:sz w:val="22"/>
        </w:rPr>
        <w:t>S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=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R</w:t>
      </w:r>
      <w:r>
        <w:rPr>
          <w:sz w:val="22"/>
        </w:rPr>
      </w:r>
      <w:r>
        <w:rPr>
          <w:sz w:val="22"/>
        </w:rPr>
        <w:t>e</w:t>
      </w:r>
      <w:r>
        <w:rPr>
          <w:sz w:val="22"/>
        </w:rPr>
      </w:r>
      <w:r>
        <w:rPr>
          <w:sz w:val="22"/>
        </w:rPr>
        <w:t>v</w:t>
      </w:r>
      <w:r>
        <w:rPr>
          <w:sz w:val="22"/>
        </w:rPr>
      </w:r>
      <w:r>
        <w:rPr>
          <w:sz w:val="22"/>
        </w:rPr>
        <w:t>e</w:t>
      </w:r>
      <w:r>
        <w:rPr>
          <w:sz w:val="22"/>
        </w:rPr>
      </w:r>
      <w:r>
        <w:rPr>
          <w:sz w:val="22"/>
        </w:rPr>
        <w:t>n</w:t>
      </w:r>
      <w:r>
        <w:rPr>
          <w:sz w:val="22"/>
        </w:rPr>
      </w:r>
      <w:r>
        <w:rPr>
          <w:sz w:val="22"/>
        </w:rPr>
        <w:t>u</w:t>
      </w:r>
      <w:r>
        <w:rPr>
          <w:sz w:val="22"/>
        </w:rPr>
      </w:r>
      <w:r>
        <w:rPr>
          <w:sz w:val="22"/>
        </w:rPr>
        <w:t>e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−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C</w:t>
      </w:r>
      <w:r>
        <w:rPr>
          <w:sz w:val="22"/>
        </w:rPr>
      </w:r>
      <w:r>
        <w:rPr>
          <w:sz w:val="22"/>
        </w:rPr>
        <w:t>o</w:t>
      </w:r>
      <w:r>
        <w:rPr>
          <w:sz w:val="22"/>
        </w:rPr>
      </w:r>
      <w:r>
        <w:rPr>
          <w:sz w:val="22"/>
        </w:rPr>
        <w:t>s</w:t>
      </w:r>
      <w:r>
        <w:rPr>
          <w:sz w:val="22"/>
        </w:rPr>
      </w:r>
      <w:r>
        <w:rPr>
          <w:sz w:val="22"/>
        </w:rPr>
        <w:t>t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=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P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·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Q</w:t>
      </w:r>
      <w:r>
        <w:rPr>
          <w:sz w:val="22"/>
        </w:rPr>
      </w:r>
      <w:r>
        <w:rPr>
          <w:sz w:val="22"/>
        </w:rPr>
        <w:t>_</w:t>
      </w:r>
      <w:r>
        <w:rPr>
          <w:sz w:val="22"/>
        </w:rPr>
      </w:r>
      <w:r>
        <w:rPr>
          <w:sz w:val="22"/>
        </w:rPr>
        <w:t>N</w:t>
      </w:r>
      <w:r>
        <w:rPr>
          <w:sz w:val="22"/>
        </w:rPr>
      </w:r>
      <w:r>
        <w:rPr>
          <w:sz w:val="22"/>
        </w:rPr>
        <w:t>O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−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∫</w:t>
      </w:r>
      <w:r>
        <w:rPr>
          <w:sz w:val="22"/>
        </w:rPr>
      </w:r>
      <w:r>
        <w:rPr>
          <w:sz w:val="22"/>
        </w:rPr>
        <w:t>₀</w:t>
      </w:r>
      <w:r>
        <w:rPr>
          <w:sz w:val="22"/>
        </w:rPr>
      </w:r>
      <w:r>
        <w:rPr>
          <w:sz w:val="22"/>
        </w:rPr>
        <w:t>^</w:t>
      </w:r>
      <w:r>
        <w:rPr>
          <w:sz w:val="22"/>
        </w:rPr>
      </w:r>
      <w:r>
        <w:rPr>
          <w:sz w:val="22"/>
        </w:rPr>
        <w:t>{</w:t>
      </w:r>
      <w:r>
        <w:rPr>
          <w:sz w:val="22"/>
        </w:rPr>
      </w:r>
      <w:r>
        <w:rPr>
          <w:sz w:val="22"/>
        </w:rPr>
        <w:t>Q</w:t>
      </w:r>
      <w:r>
        <w:rPr>
          <w:sz w:val="22"/>
        </w:rPr>
      </w:r>
      <w:r>
        <w:rPr>
          <w:sz w:val="22"/>
        </w:rPr>
        <w:t>_</w:t>
      </w:r>
      <w:r>
        <w:rPr>
          <w:sz w:val="22"/>
        </w:rPr>
      </w:r>
      <w:r>
        <w:rPr>
          <w:sz w:val="22"/>
        </w:rPr>
        <w:t>N</w:t>
      </w:r>
      <w:r>
        <w:rPr>
          <w:sz w:val="22"/>
        </w:rPr>
      </w:r>
      <w:r>
        <w:rPr>
          <w:sz w:val="22"/>
        </w:rPr>
        <w:t>O</w:t>
      </w:r>
      <w:r>
        <w:rPr>
          <w:sz w:val="22"/>
        </w:rPr>
      </w:r>
      <w:r>
        <w:rPr>
          <w:sz w:val="22"/>
        </w:rPr>
        <w:t>}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M</w:t>
      </w:r>
      <w:r>
        <w:rPr>
          <w:sz w:val="22"/>
        </w:rPr>
      </w:r>
      <w:r>
        <w:rPr>
          <w:sz w:val="22"/>
        </w:rPr>
        <w:t>C</w:t>
      </w:r>
      <w:r>
        <w:rPr>
          <w:sz w:val="22"/>
        </w:rPr>
      </w:r>
      <w:r>
        <w:rPr>
          <w:sz w:val="22"/>
        </w:rPr>
        <w:t>(</w:t>
      </w:r>
      <w:r>
        <w:rPr>
          <w:sz w:val="22"/>
        </w:rPr>
      </w:r>
      <w:r>
        <w:rPr>
          <w:sz w:val="22"/>
        </w:rPr>
        <w:t>q</w:t>
      </w:r>
      <w:r>
        <w:rPr>
          <w:sz w:val="22"/>
        </w:rPr>
      </w:r>
      <w:r>
        <w:rPr>
          <w:sz w:val="22"/>
        </w:rPr>
        <w:t>)</w:t>
      </w:r>
      <w:r>
        <w:rPr>
          <w:sz w:val="22"/>
        </w:rPr>
      </w:r>
      <w:r>
        <w:rPr>
          <w:sz w:val="22"/>
        </w:rPr>
        <w:t xml:space="preserve"> </w:t>
      </w:r>
      <w:r>
        <w:rPr>
          <w:sz w:val="22"/>
        </w:rPr>
      </w:r>
      <w:r>
        <w:rPr>
          <w:sz w:val="22"/>
        </w:rPr>
        <w:t>d</w:t>
      </w:r>
      <w:r>
        <w:rPr>
          <w:sz w:val="22"/>
        </w:rPr>
      </w:r>
      <w:r>
        <w:rPr>
          <w:sz w:val="22"/>
        </w:rPr>
        <w:t>q</w:t>
      </w:r>
      <w:r>
        <w:rPr>
          <w:sz w:val="22"/>
        </w:rPr>
      </w:r>
      <w:r>
        <w:rPr>
          <w:sz w:val="22"/>
        </w:rPr>
      </w:r>
    </w:p>
    <w:p>
      <w:r>
        <w:rPr>
          <w:sz w:val="22"/>
        </w:rPr>
        <w:t xml:space="preserve">For constant-elasticity supply, the inverse supply function is  P = (Q / A)^(1/ε),  and the cost integral has a </w:t>
      </w:r>
      <w:r>
        <w:rPr>
          <w:b/>
          <w:sz w:val="22"/>
        </w:rPr>
        <w:t>closed-form solution</w:t>
      </w:r>
      <w:r>
        <w:rPr>
          <w:sz w:val="22"/>
        </w:rPr>
        <w:t>:</w:t>
      </w:r>
    </w:p>
    <w:p>
      <w:pPr>
        <w:ind w:left="576"/>
      </w:pPr>
      <w:r>
        <w:rPr>
          <w:rFonts w:ascii="Courier New" w:hAnsi="Courier New"/>
          <w:sz w:val="21"/>
        </w:rPr>
        <w:t>∫₀^Q (q/A)^(1/ε) dq  =  A^(−1/ε) · Q^(1 + 1/ε)  /  (1 + 1/ε)</w:t>
      </w:r>
    </w:p>
    <w:p/>
    <w:p>
      <w:r>
        <w:rPr>
          <w:sz w:val="22"/>
        </w:rPr>
      </w:r>
      <w:r>
        <w:rPr>
          <w:b/>
          <w:sz w:val="22"/>
        </w:rPr>
        <w:t>Two methods — both give the same answer:</w:t>
      </w:r>
      <w:r>
        <w:rPr>
          <w:sz w:val="22"/>
        </w:rPr>
      </w:r>
    </w:p>
    <w:p>
      <w:pPr>
        <w:pStyle w:val="ListBullet"/>
        <w:ind w:left="432"/>
      </w:pPr>
      <w:r>
        <w:rPr>
          <w:sz w:val="22"/>
        </w:rPr>
      </w:r>
      <w:r>
        <w:rPr>
          <w:b/>
          <w:sz w:val="22"/>
        </w:rPr>
        <w:t>Analytical formula</w:t>
      </w:r>
      <w:r>
        <w:rPr>
          <w:sz w:val="22"/>
        </w:rPr>
        <w:t>: plug in the closed-form integral above. Fast and exact.</w:t>
      </w:r>
    </w:p>
    <w:p>
      <w:pPr>
        <w:pStyle w:val="ListBullet"/>
        <w:ind w:left="432"/>
      </w:pPr>
      <w:r>
        <w:rPr>
          <w:sz w:val="22"/>
        </w:rPr>
      </w:r>
      <w:r>
        <w:rPr>
          <w:b/>
          <w:sz w:val="22"/>
        </w:rPr>
        <w:t>Numerical</w:t>
      </w:r>
      <w:r>
        <w:rPr>
          <w:sz w:val="22"/>
        </w:rPr>
        <w:t xml:space="preserve"> ('integration by force', Session 7): sum up MC over a fine grid of 50 000 points. </w:t>
      </w:r>
      <w:r>
        <w:rPr>
          <w:b/>
          <w:sz w:val="22"/>
        </w:rPr>
        <w:t>Error vs. analytical: less than 0.000001 bn EUR</w:t>
      </w:r>
      <w:r>
        <w:rPr>
          <w:sz w:val="22"/>
        </w:rPr>
        <w:t>.</w:t>
      </w:r>
    </w:p>
    <w:p>
      <w:pPr>
        <w:ind w:left="576" w:right="576"/>
      </w:pPr>
      <w:r>
        <w:rPr>
          <w:i/>
          <w:color w:val="606060"/>
          <w:sz w:val="20"/>
        </w:rPr>
        <w:t>[SPEAKER NOTE] Show the two PS diagrams (pre-war, post-shock) side by side. Point to the shaded green area. Say: 'The shaded region is the producer surplus — the gap between market price and marginal cost, summed over all Norwegian output.'</w:t>
      </w:r>
    </w:p>
    <w:p/>
    <w:p>
      <w:r>
        <w:rPr>
          <w:sz w:val="22"/>
        </w:rPr>
        <w:t>Norwegian supply parameters:</w:t>
      </w:r>
    </w:p>
    <w:p>
      <w:pPr>
        <w:pStyle w:val="ListBullet"/>
        <w:ind w:left="432"/>
      </w:pPr>
      <w:r>
        <w:rPr>
          <w:sz w:val="22"/>
        </w:rPr>
        <w:t>Norway's share of pre-war European supply: 25 %  →  A_NO = 0.25 · A_s</w:t>
      </w:r>
    </w:p>
    <w:p>
      <w:pPr>
        <w:pStyle w:val="ListBullet"/>
        <w:ind w:left="432"/>
      </w:pPr>
      <w:r>
        <w:rPr>
          <w:sz w:val="22"/>
        </w:rPr>
        <w:t>Norway's supply curve is NOT shifted by the shock — the shock removes Russian supply only.</w:t>
      </w:r>
    </w:p>
    <w:p/>
    <w:p>
      <w:r>
        <w:rPr>
          <w:sz w:val="22"/>
        </w:rPr>
      </w:r>
      <w:r>
        <w:rPr>
          <w:b/>
          <w:sz w:val="22"/>
        </w:rPr>
        <w:t>Key results:</w:t>
      </w:r>
      <w:r>
        <w:rPr>
          <w:sz w:val="22"/>
        </w:rPr>
      </w:r>
    </w:p>
    <w:p>
      <w:pPr>
        <w:pStyle w:val="ListBullet"/>
        <w:ind w:left="432"/>
      </w:pPr>
      <w:r>
        <w:rPr>
          <w:sz w:val="22"/>
        </w:rPr>
        <w:t>Norwegian output pre-war:   1 000 TWh/yr</w:t>
      </w:r>
    </w:p>
    <w:p>
      <w:pPr>
        <w:pStyle w:val="ListBullet"/>
        <w:ind w:left="432"/>
      </w:pPr>
      <w:r>
        <w:rPr>
          <w:sz w:val="22"/>
        </w:rPr>
        <w:t>Norwegian output post-shock:  ~1 035 TWh/yr  (+3.5 %)  — only a small volume increase</w:t>
      </w:r>
    </w:p>
    <w:p>
      <w:pPr>
        <w:pStyle w:val="ListBullet"/>
        <w:ind w:left="432"/>
      </w:pPr>
      <w:r>
        <w:rPr>
          <w:sz w:val="22"/>
        </w:rPr>
        <w:t>Norwegian PS pre-war:    ~8.1 bn EUR</w:t>
      </w:r>
    </w:p>
    <w:p>
      <w:pPr>
        <w:pStyle w:val="ListBullet"/>
        <w:ind w:left="432"/>
      </w:pPr>
      <w:r>
        <w:rPr>
          <w:sz w:val="22"/>
        </w:rPr>
        <w:t>Norwegian PS post-shock: ~36.1 bn EUR</w:t>
      </w:r>
    </w:p>
    <w:p>
      <w:pPr>
        <w:pStyle w:val="ListBullet"/>
        <w:ind w:left="432"/>
      </w:pPr>
      <w:r>
        <w:rPr>
          <w:sz w:val="22"/>
        </w:rPr>
        <w:t xml:space="preserve">Change in PS:  </w:t>
      </w:r>
      <w:r>
        <w:rPr>
          <w:b/>
          <w:sz w:val="22"/>
        </w:rPr>
        <w:t>+28.0 bn EUR</w:t>
      </w:r>
      <w:r>
        <w:rPr>
          <w:sz w:val="22"/>
        </w:rPr>
      </w:r>
    </w:p>
    <w:p/>
    <w:p>
      <w:r>
        <w:rPr>
          <w:sz w:val="22"/>
        </w:rPr>
        <w:t xml:space="preserve">Interpretation: </w:t>
      </w:r>
      <w:r>
        <w:rPr>
          <w:b/>
          <w:sz w:val="22"/>
        </w:rPr>
        <w:t>almost all of Norway's gain comes from price, not volume.</w:t>
      </w:r>
      <w:r>
        <w:rPr>
          <w:sz w:val="22"/>
        </w:rPr>
        <w:t xml:space="preserve"> Because supply elasticity is low (εₛ = 0.35), Norway cannot rapidly expand output. Instead, it </w:t>
      </w:r>
      <w:r>
        <w:rPr>
          <w:b/>
          <w:sz w:val="22"/>
        </w:rPr>
        <w:t>earns the same approximate volume at more than double the price.</w:t>
      </w:r>
      <w:r>
        <w:rPr>
          <w:sz w:val="22"/>
        </w:rPr>
      </w:r>
    </w:p>
    <w:p>
      <w:pPr>
        <w:ind w:left="576" w:right="576"/>
      </w:pPr>
      <w:r>
        <w:rPr>
          <w:i/>
          <w:color w:val="606060"/>
          <w:sz w:val="20"/>
        </w:rPr>
        <w:t>[SPEAKER NOTE] Pause here. Say: 'This 28 billion euro gross gain is the number the rest of the analysis is built on. Member 2 will use it to compute the consumer welfare loss. Member 3 will split it between the state and firms using the 78 % petroleum tax.'</w:t>
      </w:r>
    </w:p>
    <w:p/>
    <w:p>
      <w:pPr>
        <w:pStyle w:val="Heading2"/>
        <w:jc w:val="left"/>
      </w:pPr>
      <w:r>
        <w:t>3.4  Handover to Member 2 (30 seconds)</w:t>
      </w:r>
    </w:p>
    <w:p>
      <w:pPr>
        <w:ind w:left="576" w:right="576"/>
      </w:pPr>
      <w:r>
        <w:rPr>
          <w:i/>
          <w:sz w:val="22"/>
        </w:rPr>
        <w:t>"So to summarise Section 3: the shock shifts the supply curve left, pushes the market price from 20 to 44 euros, and delivers a gross windfall of 28 billion euros to Norwegian gas producers. The natural next question is: who loses from this price surge inside Norway? My colleague will now show you the consumer side of the picture."</w:t>
      </w:r>
    </w:p>
    <w:p>
      <w:pPr>
        <w:ind w:left="576" w:right="576"/>
      </w:pPr>
      <w:r>
        <w:rPr>
          <w:i/>
          <w:color w:val="606060"/>
          <w:sz w:val="20"/>
        </w:rPr>
        <w:t>[SPEAKER NOTE] Look at Member 2 and gesture to hand over. Do NOT summarise Member 2's results — leave the audience curious.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1A3A5C"/>
        </w:rPr>
        <w:t>Anticipated Q&amp;A — Section 3</w:t>
      </w:r>
    </w:p>
    <w:p>
      <w:pPr>
        <w:pStyle w:val="Heading3"/>
        <w:jc w:val="left"/>
      </w:pPr>
      <w:r>
        <w:t>Q1:  Why constant-elasticity and not linear supply/demand?</w:t>
      </w:r>
    </w:p>
    <w:p>
      <w:r>
        <w:rPr>
          <w:sz w:val="22"/>
        </w:rPr>
      </w:r>
      <w:r>
        <w:rPr>
          <w:b/>
          <w:sz w:val="22"/>
        </w:rPr>
        <w:t xml:space="preserve">A:  </w:t>
      </w:r>
      <w:r>
        <w:rPr>
          <w:sz w:val="22"/>
        </w:rPr>
        <w:t>Linear curves require choosing specific intercepts and slopes. Constant-elasticity requires only the elasticity and one (price, quantity) data point — and elasticities are the parameters economists actually estimate and publish. It is a standard modelling choice in energy economics.</w:t>
      </w:r>
    </w:p>
    <w:p/>
    <w:p>
      <w:pPr>
        <w:pStyle w:val="Heading3"/>
        <w:jc w:val="left"/>
      </w:pPr>
      <w:r>
        <w:t>Q2:  Why does price only rise to 44 EUR/MWh when real TTF hit 300?</w:t>
      </w:r>
    </w:p>
    <w:p>
      <w:r>
        <w:rPr>
          <w:sz w:val="22"/>
        </w:rPr>
      </w:r>
      <w:r>
        <w:rPr>
          <w:b/>
          <w:sz w:val="22"/>
        </w:rPr>
        <w:t xml:space="preserve">A:  </w:t>
      </w:r>
      <w:r>
        <w:rPr>
          <w:sz w:val="22"/>
        </w:rPr>
        <w:t>Our 43.9 EUR/MWh reflects a structural equilibrium with δ = 40% of supply removed. The 300 EUR/MWh peak was a short-run speculative spike with panic buying, storage concerns, and thin liquidity. Annual-average TTF in 2022 was ~125 EUR/MWh; our model is closer to the 'true' structural shift than to the panic peak. Sensitivity analysis (Member 4) tests larger δ values and confirms results are robust.</w:t>
      </w:r>
    </w:p>
    <w:p/>
    <w:p>
      <w:pPr>
        <w:pStyle w:val="Heading3"/>
        <w:jc w:val="left"/>
      </w:pPr>
      <w:r>
        <w:t>Q3:  Why use the secant method instead of just scipy?</w:t>
      </w:r>
    </w:p>
    <w:p>
      <w:r>
        <w:rPr>
          <w:sz w:val="22"/>
        </w:rPr>
      </w:r>
      <w:r>
        <w:rPr>
          <w:b/>
          <w:sz w:val="22"/>
        </w:rPr>
        <w:t xml:space="preserve">A:  </w:t>
      </w:r>
      <w:r>
        <w:rPr>
          <w:sz w:val="22"/>
        </w:rPr>
        <w:t>The course requires us to implement numerical solvers from scratch (Sessions 2–3). The secant method is the correct tool here: our excess demand function is continuous and the derivative is not available in closed form. We use scipy.bisect only to verify our own solver — and both agree to 10⁻¹⁰ precision.</w:t>
      </w:r>
    </w:p>
    <w:p/>
    <w:p>
      <w:pPr>
        <w:pStyle w:val="Heading3"/>
        <w:jc w:val="left"/>
      </w:pPr>
      <w:r>
        <w:t>Q4:  Isn't Norwegian supply also affected by higher prices?</w:t>
      </w:r>
    </w:p>
    <w:p>
      <w:r>
        <w:rPr>
          <w:sz w:val="22"/>
        </w:rPr>
      </w:r>
      <w:r>
        <w:rPr>
          <w:b/>
          <w:sz w:val="22"/>
        </w:rPr>
        <w:t xml:space="preserve">A:  </w:t>
      </w:r>
      <w:r>
        <w:rPr>
          <w:sz w:val="22"/>
        </w:rPr>
        <w:t>Yes — Norway moves up along its unchanged supply curve when prices rise. Our model captures this: Norwegian output increases from ~1 000 to ~1 035 TWh (+3.5%). But because supply elasticity is low (εₛ = 0.35), the volume increase is modest. The big gain is from the price, not expanded production.</w:t>
      </w:r>
    </w:p>
    <w:p/>
    <w:p>
      <w:pPr>
        <w:pStyle w:val="Heading3"/>
        <w:jc w:val="left"/>
      </w:pPr>
      <w:r>
        <w:t>Q5:  What is δ = 0.40 based on?</w:t>
      </w:r>
    </w:p>
    <w:p>
      <w:r>
        <w:rPr>
          <w:sz w:val="22"/>
        </w:rPr>
      </w:r>
      <w:r>
        <w:rPr>
          <w:b/>
          <w:sz w:val="22"/>
        </w:rPr>
        <w:t xml:space="preserve">A:  </w:t>
      </w:r>
      <w:r>
        <w:rPr>
          <w:sz w:val="22"/>
        </w:rPr>
        <w:t>Russia supplied roughly 40% of European gas pre-war via Nord Stream, Yamal, and Brotherhood pipelines (approx. 155 bcm out of ~400 bcm total). The curtailment was progressive, but by Q4 2022 flows were close to zero. We model the full removal as a baseline; sensitivity analysis tests δ from 0.20 to 0.60.</w:t>
      </w:r>
    </w:p>
    <w:p/>
    <w:p>
      <w:pPr>
        <w:pStyle w:val="Heading3"/>
        <w:jc w:val="left"/>
      </w:pPr>
      <w:r>
        <w:t>Q6:  How does this connect to the final net welfare number?</w:t>
      </w:r>
    </w:p>
    <w:p>
      <w:r>
        <w:rPr>
          <w:sz w:val="22"/>
        </w:rPr>
      </w:r>
      <w:r>
        <w:rPr>
          <w:b/>
          <w:sz w:val="22"/>
        </w:rPr>
        <w:t xml:space="preserve">A:  </w:t>
      </w:r>
      <w:r>
        <w:rPr>
          <w:sz w:val="22"/>
        </w:rPr>
        <w:t>The +28 bn EUR PS gain is the gross windfall. Member 3 splits it: 78% (21.8 bn EUR) goes to the government via the petroleum tax, 22% (6.2 bn EUR) stays with gas firms. Member 2 estimates the consumer welfare loss at −5.0 bn EUR. Net welfare = 28.0 − 5.0 = +23.0 bn EUR. Norway is a net winner by a large margin.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1A3A5C"/>
        </w:rPr>
        <w:t>Quick-Reference Card — Key Numbers for Section 3</w:t>
      </w:r>
    </w:p>
    <w:p>
      <w:r>
        <w:rPr>
          <w:sz w:val="22"/>
        </w:rPr>
        <w:t>Memorise these — they are the numbers you must not get wrong live: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Parameter / Result</w:t>
            </w:r>
          </w:p>
        </w:tc>
        <w:tc>
          <w:tcPr>
            <w:tcW w:type="dxa" w:w="3022"/>
          </w:tcPr>
          <w:p>
            <w:r>
              <w:t>Value</w:t>
            </w:r>
          </w:p>
        </w:tc>
        <w:tc>
          <w:tcPr>
            <w:tcW w:type="dxa" w:w="3022"/>
          </w:tcPr>
          <w:p>
            <w:r>
              <w:t>Meaning</w:t>
            </w:r>
          </w:p>
        </w:tc>
      </w:tr>
      <w:tr>
        <w:tc>
          <w:tcPr>
            <w:tcW w:type="dxa" w:w="3022"/>
          </w:tcPr>
          <w:p>
            <w:r>
              <w:t>P₀ (pre-war price)</w:t>
            </w:r>
          </w:p>
        </w:tc>
        <w:tc>
          <w:tcPr>
            <w:tcW w:type="dxa" w:w="3022"/>
          </w:tcPr>
          <w:p>
            <w:r>
              <w:t>20 EUR/MWh</w:t>
            </w:r>
          </w:p>
        </w:tc>
        <w:tc>
          <w:tcPr>
            <w:tcW w:type="dxa" w:w="3022"/>
          </w:tcPr>
          <w:p>
            <w:r>
              <w:t>2019–2021 average TTF</w:t>
            </w:r>
          </w:p>
        </w:tc>
      </w:tr>
      <w:tr>
        <w:tc>
          <w:tcPr>
            <w:tcW w:type="dxa" w:w="3022"/>
          </w:tcPr>
          <w:p>
            <w:r>
              <w:t>Q₀ (pre-war quantity)</w:t>
            </w:r>
          </w:p>
        </w:tc>
        <w:tc>
          <w:tcPr>
            <w:tcW w:type="dxa" w:w="3022"/>
          </w:tcPr>
          <w:p>
            <w:r>
              <w:t>4 000 TWh/yr</w:t>
            </w:r>
          </w:p>
        </w:tc>
        <w:tc>
          <w:tcPr>
            <w:tcW w:type="dxa" w:w="3022"/>
          </w:tcPr>
          <w:p>
            <w:r>
              <w:t>Total European gas consumption</w:t>
            </w:r>
          </w:p>
        </w:tc>
      </w:tr>
      <w:tr>
        <w:tc>
          <w:tcPr>
            <w:tcW w:type="dxa" w:w="3022"/>
          </w:tcPr>
          <w:p>
            <w:r>
              <w:t>ε_d</w:t>
            </w:r>
          </w:p>
        </w:tc>
        <w:tc>
          <w:tcPr>
            <w:tcW w:type="dxa" w:w="3022"/>
          </w:tcPr>
          <w:p>
            <w:r>
              <w:t>−0.30</w:t>
            </w:r>
          </w:p>
        </w:tc>
        <w:tc>
          <w:tcPr>
            <w:tcW w:type="dxa" w:w="3022"/>
          </w:tcPr>
          <w:p>
            <w:r>
              <w:t>Short-run demand elasticity</w:t>
            </w:r>
          </w:p>
        </w:tc>
      </w:tr>
      <w:tr>
        <w:tc>
          <w:tcPr>
            <w:tcW w:type="dxa" w:w="3022"/>
          </w:tcPr>
          <w:p>
            <w:r>
              <w:t>ε_s</w:t>
            </w:r>
          </w:p>
        </w:tc>
        <w:tc>
          <w:tcPr>
            <w:tcW w:type="dxa" w:w="3022"/>
          </w:tcPr>
          <w:p>
            <w:r>
              <w:t>+0.35</w:t>
            </w:r>
          </w:p>
        </w:tc>
        <w:tc>
          <w:tcPr>
            <w:tcW w:type="dxa" w:w="3022"/>
          </w:tcPr>
          <w:p>
            <w:r>
              <w:t>Short-run supply elasticity</w:t>
            </w:r>
          </w:p>
        </w:tc>
      </w:tr>
      <w:tr>
        <w:tc>
          <w:tcPr>
            <w:tcW w:type="dxa" w:w="3022"/>
          </w:tcPr>
          <w:p>
            <w:r>
              <w:t>δ (shock magnitude)</w:t>
            </w:r>
          </w:p>
        </w:tc>
        <w:tc>
          <w:tcPr>
            <w:tcW w:type="dxa" w:w="3022"/>
          </w:tcPr>
          <w:p>
            <w:r>
              <w:t>0.40</w:t>
            </w:r>
          </w:p>
        </w:tc>
        <w:tc>
          <w:tcPr>
            <w:tcW w:type="dxa" w:w="3022"/>
          </w:tcPr>
          <w:p>
            <w:r>
              <w:t>Russia's share of supply removed</w:t>
            </w:r>
          </w:p>
        </w:tc>
      </w:tr>
      <w:tr>
        <w:tc>
          <w:tcPr>
            <w:tcW w:type="dxa" w:w="3022"/>
          </w:tcPr>
          <w:p>
            <w:r>
              <w:t>Norway's share</w:t>
            </w:r>
          </w:p>
        </w:tc>
        <w:tc>
          <w:tcPr>
            <w:tcW w:type="dxa" w:w="3022"/>
          </w:tcPr>
          <w:p>
            <w:r>
              <w:t>25%</w:t>
            </w:r>
          </w:p>
        </w:tc>
        <w:tc>
          <w:tcPr>
            <w:tcW w:type="dxa" w:w="3022"/>
          </w:tcPr>
          <w:p>
            <w:r>
              <w:t>of pre-war European gas supply</w:t>
            </w:r>
          </w:p>
        </w:tc>
      </w:tr>
      <w:tr>
        <w:tc>
          <w:tcPr>
            <w:tcW w:type="dxa" w:w="3022"/>
          </w:tcPr>
          <w:p>
            <w:r>
              <w:t>P₁ (post-shock price)</w:t>
            </w:r>
          </w:p>
        </w:tc>
        <w:tc>
          <w:tcPr>
            <w:tcW w:type="dxa" w:w="3022"/>
          </w:tcPr>
          <w:p>
            <w:r>
              <w:t>43.89 EUR/MWh</w:t>
            </w:r>
          </w:p>
        </w:tc>
        <w:tc>
          <w:tcPr>
            <w:tcW w:type="dxa" w:w="3022"/>
          </w:tcPr>
          <w:p>
            <w:r>
              <w:t>+119% from baseline</w:t>
            </w:r>
          </w:p>
        </w:tc>
      </w:tr>
      <w:tr>
        <w:tc>
          <w:tcPr>
            <w:tcW w:type="dxa" w:w="3022"/>
          </w:tcPr>
          <w:p>
            <w:r>
              <w:t>Q₁ (post-shock qty)</w:t>
            </w:r>
          </w:p>
        </w:tc>
        <w:tc>
          <w:tcPr>
            <w:tcW w:type="dxa" w:w="3022"/>
          </w:tcPr>
          <w:p>
            <w:r>
              <w:t>~3 650 TWh/yr</w:t>
            </w:r>
          </w:p>
        </w:tc>
        <w:tc>
          <w:tcPr>
            <w:tcW w:type="dxa" w:w="3022"/>
          </w:tcPr>
          <w:p>
            <w:r>
              <w:t>−8.7% from baseline</w:t>
            </w:r>
          </w:p>
        </w:tc>
      </w:tr>
      <w:tr>
        <w:tc>
          <w:tcPr>
            <w:tcW w:type="dxa" w:w="3022"/>
          </w:tcPr>
          <w:p>
            <w:r>
              <w:t>Norwegian Q pre-war</w:t>
            </w:r>
          </w:p>
        </w:tc>
        <w:tc>
          <w:tcPr>
            <w:tcW w:type="dxa" w:w="3022"/>
          </w:tcPr>
          <w:p>
            <w:r>
              <w:t>1 000 TWh/yr</w:t>
            </w:r>
          </w:p>
        </w:tc>
        <w:tc>
          <w:tcPr>
            <w:tcW w:type="dxa" w:w="3022"/>
          </w:tcPr>
          <w:p>
            <w:r>
              <w:t>= 25% × 4 000</w:t>
            </w:r>
          </w:p>
        </w:tc>
      </w:tr>
      <w:tr>
        <w:tc>
          <w:tcPr>
            <w:tcW w:type="dxa" w:w="3022"/>
          </w:tcPr>
          <w:p>
            <w:r>
              <w:t>Norwegian Q post</w:t>
            </w:r>
          </w:p>
        </w:tc>
        <w:tc>
          <w:tcPr>
            <w:tcW w:type="dxa" w:w="3022"/>
          </w:tcPr>
          <w:p>
            <w:r>
              <w:t>~1 035 TWh/yr</w:t>
            </w:r>
          </w:p>
        </w:tc>
        <w:tc>
          <w:tcPr>
            <w:tcW w:type="dxa" w:w="3022"/>
          </w:tcPr>
          <w:p>
            <w:r>
              <w:t>+3.5% (small volume gain)</w:t>
            </w:r>
          </w:p>
        </w:tc>
      </w:tr>
      <w:tr>
        <w:tc>
          <w:tcPr>
            <w:tcW w:type="dxa" w:w="3022"/>
          </w:tcPr>
          <w:p>
            <w:r>
              <w:t>PS pre-war</w:t>
            </w:r>
          </w:p>
        </w:tc>
        <w:tc>
          <w:tcPr>
            <w:tcW w:type="dxa" w:w="3022"/>
          </w:tcPr>
          <w:p>
            <w:r>
              <w:t>~8.1 bn EUR</w:t>
            </w:r>
          </w:p>
        </w:tc>
        <w:tc>
          <w:tcPr>
            <w:tcW w:type="dxa" w:w="3022"/>
          </w:tcPr>
          <w:p>
            <w:r>
              <w:t>Baseline producer surplus</w:t>
            </w:r>
          </w:p>
        </w:tc>
      </w:tr>
      <w:tr>
        <w:tc>
          <w:tcPr>
            <w:tcW w:type="dxa" w:w="3022"/>
          </w:tcPr>
          <w:p>
            <w:r>
              <w:t>PS post-shock</w:t>
            </w:r>
          </w:p>
        </w:tc>
        <w:tc>
          <w:tcPr>
            <w:tcW w:type="dxa" w:w="3022"/>
          </w:tcPr>
          <w:p>
            <w:r>
              <w:t>~36.1 bn EUR</w:t>
            </w:r>
          </w:p>
        </w:tc>
        <w:tc>
          <w:tcPr>
            <w:tcW w:type="dxa" w:w="3022"/>
          </w:tcPr>
          <w:p>
            <w:r>
              <w:t>After price surge</w:t>
            </w:r>
          </w:p>
        </w:tc>
      </w:tr>
      <w:tr>
        <w:tc>
          <w:tcPr>
            <w:tcW w:type="dxa" w:w="3022"/>
          </w:tcPr>
          <w:p>
            <w:r>
              <w:t>ΔPS (Section 3 output)</w:t>
            </w:r>
          </w:p>
        </w:tc>
        <w:tc>
          <w:tcPr>
            <w:tcW w:type="dxa" w:w="3022"/>
          </w:tcPr>
          <w:p>
            <w:r>
              <w:t>+ 28.0 bn EUR</w:t>
            </w:r>
          </w:p>
        </w:tc>
        <w:tc>
          <w:tcPr>
            <w:tcW w:type="dxa" w:w="3022"/>
          </w:tcPr>
          <w:p>
            <w:r>
              <w:t>The gross windfall — INPUT to Sections 4 &amp; 5</w:t>
            </w:r>
          </w:p>
        </w:tc>
      </w:tr>
    </w:tbl>
    <w:p/>
    <w:p/>
    <w:p>
      <w:pPr>
        <w:pStyle w:val="Heading1"/>
        <w:jc w:val="left"/>
      </w:pPr>
      <w:r>
        <w:rPr>
          <w:color w:val="1A3A5C"/>
        </w:rPr>
        <w:t>How Section 3 Feeds the Full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Who</w:t>
            </w:r>
          </w:p>
        </w:tc>
        <w:tc>
          <w:tcPr>
            <w:tcW w:type="dxa" w:w="3022"/>
          </w:tcPr>
          <w:p>
            <w:r>
              <w:t>What they compute</w:t>
            </w:r>
          </w:p>
        </w:tc>
        <w:tc>
          <w:tcPr>
            <w:tcW w:type="dxa" w:w="3022"/>
          </w:tcPr>
          <w:p>
            <w:r>
              <w:t>What they need from you</w:t>
            </w:r>
          </w:p>
        </w:tc>
      </w:tr>
      <w:tr>
        <w:tc>
          <w:tcPr>
            <w:tcW w:type="dxa" w:w="3022"/>
          </w:tcPr>
          <w:p>
            <w:r>
              <w:t>Section 3 (YOU)</w:t>
            </w:r>
          </w:p>
        </w:tc>
        <w:tc>
          <w:tcPr>
            <w:tcW w:type="dxa" w:w="3022"/>
          </w:tcPr>
          <w:p>
            <w:r>
              <w:t>ΔPS = +28.0 bn EUR</w:t>
            </w:r>
          </w:p>
        </w:tc>
        <w:tc>
          <w:tcPr>
            <w:tcW w:type="dxa" w:w="3022"/>
          </w:tcPr>
          <w:p>
            <w:r>
              <w:t>Gross windfall from supply shock</w:t>
            </w:r>
          </w:p>
        </w:tc>
      </w:tr>
      <w:tr>
        <w:tc>
          <w:tcPr>
            <w:tcW w:type="dxa" w:w="3022"/>
          </w:tcPr>
          <w:p>
            <w:r>
              <w:t>Section 4 (Member 2)</w:t>
            </w:r>
          </w:p>
        </w:tc>
        <w:tc>
          <w:tcPr>
            <w:tcW w:type="dxa" w:w="3022"/>
          </w:tcPr>
          <w:p>
            <w:r>
              <w:t>CV = −5.0 bn EUR</w:t>
            </w:r>
          </w:p>
        </w:tc>
        <w:tc>
          <w:tcPr>
            <w:tcW w:type="dxa" w:w="3022"/>
          </w:tcPr>
          <w:p>
            <w:r>
              <w:t>Uses P₀, P₁, Q values to measure consumer loss</w:t>
            </w:r>
          </w:p>
        </w:tc>
      </w:tr>
      <w:tr>
        <w:tc>
          <w:tcPr>
            <w:tcW w:type="dxa" w:w="3022"/>
          </w:tcPr>
          <w:p>
            <w:r>
              <w:t>Section 5 (Member 3)</w:t>
            </w:r>
          </w:p>
        </w:tc>
        <w:tc>
          <w:tcPr>
            <w:tcW w:type="dxa" w:w="3022"/>
          </w:tcPr>
          <w:p>
            <w:r>
              <w:t>Gov: +21.8 bn / Firm: +6.2 bn</w:t>
            </w:r>
          </w:p>
        </w:tc>
        <w:tc>
          <w:tcPr>
            <w:tcW w:type="dxa" w:w="3022"/>
          </w:tcPr>
          <w:p>
            <w:r>
              <w:t>Splits ΔPS via 78% petroleum tax</w:t>
            </w:r>
          </w:p>
        </w:tc>
      </w:tr>
      <w:tr>
        <w:tc>
          <w:tcPr>
            <w:tcW w:type="dxa" w:w="3022"/>
          </w:tcPr>
          <w:p>
            <w:r>
              <w:t>Sections 6-7 (Member 4)</w:t>
            </w:r>
          </w:p>
        </w:tc>
        <w:tc>
          <w:tcPr>
            <w:tcW w:type="dxa" w:w="3022"/>
          </w:tcPr>
          <w:p>
            <w:r>
              <w:t>Net ΔW = +23.0 bn EUR</w:t>
            </w:r>
          </w:p>
        </w:tc>
        <w:tc>
          <w:tcPr>
            <w:tcW w:type="dxa" w:w="3022"/>
          </w:tcPr>
          <w:p>
            <w:r>
              <w:t>Aggregates: ΔPS − CV; sensitivity tests</w:t>
            </w:r>
          </w:p>
        </w:tc>
      </w:tr>
    </w:tbl>
    <w:p/>
    <w:p>
      <w:r>
        <w:rPr>
          <w:sz w:val="22"/>
        </w:rPr>
        <w:t>The central message: Section 3 establishes the price change (</w:t>
      </w:r>
      <w:r>
        <w:rPr>
          <w:b/>
          <w:sz w:val="22"/>
        </w:rPr>
        <w:t>P₀→P₁</w:t>
      </w:r>
      <w:r>
        <w:rPr>
          <w:sz w:val="22"/>
        </w:rPr>
        <w:t>) and the gross producer surplus gain (</w:t>
      </w:r>
      <w:r>
        <w:rPr>
          <w:b/>
          <w:sz w:val="22"/>
        </w:rPr>
        <w:t>ΔPS = +28 bn EUR</w:t>
      </w:r>
      <w:r>
        <w:rPr>
          <w:sz w:val="22"/>
        </w:rPr>
        <w:t xml:space="preserve">). </w:t>
      </w:r>
      <w:r>
        <w:rPr>
          <w:b/>
          <w:sz w:val="22"/>
        </w:rPr>
        <w:t>These two outputs are the inputs for every other section.</w:t>
      </w:r>
      <w:r>
        <w:rPr>
          <w:sz w:val="22"/>
        </w:rPr>
        <w:t xml:space="preserve"> If the audience understands nothing else from your presentation, they must understand these two numbers.</w:t>
      </w:r>
    </w:p>
    <w:p/>
    <w:p/>
    <w:p>
      <w:pPr>
        <w:jc w:val="center"/>
      </w:pPr>
      <w:r>
        <w:rPr>
          <w:i/>
          <w:color w:val="888888"/>
          <w:sz w:val="20"/>
        </w:rPr>
        <w:t>— End of Manuscript · Member 1 · Section 3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