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ANÁLISIS DE FALLA</w:t>
      </w:r>
    </w:p>
    <w:p>
      <w:r>
        <w:rPr>
          <w:b/>
          <w:sz w:val="26"/>
        </w:rPr>
        <w:t>Falla de cojinetes de bancada — Unidad U14 (Wärtsilä 18V46)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Unidad U14 — Wärtsilä 18V46 (~17.8 MW)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y hora del evento</w:t>
            </w:r>
          </w:p>
        </w:tc>
        <w:tc>
          <w:tcPr>
            <w:tcW w:type="dxa" w:w="4320"/>
          </w:tcPr>
          <w:p>
            <w:r>
              <w:t>19/04/2026, 23:10 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Protección que actuó</w:t>
            </w:r>
          </w:p>
        </w:tc>
        <w:tc>
          <w:tcPr>
            <w:tcW w:type="dxa" w:w="4320"/>
          </w:tcPr>
          <w:p>
            <w:r>
              <w:t>Detector de neblina de aceite (Oil Mist Detector, OMD)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Componentes dañados</w:t>
            </w:r>
          </w:p>
        </w:tc>
        <w:tc>
          <w:tcPr>
            <w:tcW w:type="dxa" w:w="4320"/>
          </w:tcPr>
          <w:p>
            <w:r>
              <w:t>Cojinetes de bancada en la posición del cilindro 5 (bancos A5 y B5)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4320"/>
          </w:tcPr>
          <w:p>
            <w:r>
              <w:t>FALLA MAYOR / CRÍTICA — riesgo de explosión de cárter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 la unidad</w:t>
            </w:r>
          </w:p>
        </w:tc>
        <w:tc>
          <w:tcPr>
            <w:tcW w:type="dxa" w:w="4320"/>
          </w:tcPr>
          <w:p>
            <w:r>
              <w:t>Fuera de servicio (disparada por protección)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emisión</w:t>
            </w:r>
          </w:p>
        </w:tc>
        <w:tc>
          <w:tcPr>
            <w:tcW w:type="dxa" w:w="4320"/>
          </w:tcPr>
          <w:p>
            <w:r>
              <w:t>31/05/2026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Elaborado por</w:t>
            </w:r>
          </w:p>
        </w:tc>
        <w:tc>
          <w:tcPr>
            <w:tcW w:type="dxa" w:w="4320"/>
          </w:tcPr>
          <w:p>
            <w:r>
              <w:t>Luis Loo</w:t>
            </w:r>
          </w:p>
        </w:tc>
      </w:tr>
    </w:tbl>
    <w:p>
      <w:pPr>
        <w:pStyle w:val="Heading1"/>
      </w:pPr>
      <w:r>
        <w:t>1. Descripción del evento</w:t>
      </w:r>
    </w:p>
    <w:p>
      <w:r>
        <w:t>El 19/04/2026 a las 23:10 h la Unidad U14 disparó (trip) por actuación del detector de neblina de aceite (OMD). En la inspección posterior se encontraron dañados los cojinetes de bancada correspondientes a la posición del cilindro 5 (bancos A5 y B5). La actuación del OMD es coherente con el daño encontrado: un cojinete en proceso de falla genera un punto caliente que vaporiza el aceite lubricante y produce neblina en el cárter; el OMD detecta esa concentración y dispara el motor para prevenir una explosión de cárter.</w:t>
      </w:r>
    </w:p>
    <w:p>
      <w:pPr>
        <w:pStyle w:val="Heading1"/>
      </w:pPr>
      <w:r>
        <w:t>2. Función de la protección actuada (OMD)</w:t>
      </w:r>
    </w:p>
    <w:p>
      <w:r>
        <w:t>El detector de neblina de aceite monitorea la concentración de niebla de aceite en el cárter. Un aumento súbito indica un punto caliente (típicamente un cojinete o pistón sobrecalentado) que está vaporizando el aceite. La protección dispara la unidad para evitar que la mezcla aire-niebla alcance condiciones de explosión. Su actuación confirma que existió un sobrecalentamiento localizado, consistente con la falla de los cojinetes de bancada de la posición 5.</w:t>
      </w:r>
    </w:p>
    <w:p>
      <w:pPr>
        <w:pStyle w:val="Heading1"/>
      </w:pPr>
      <w:r>
        <w:t>3. Análisis de datos de monitoreo disponibles (precursores)</w:t>
      </w:r>
    </w:p>
    <w:p>
      <w:r>
        <w:t>Se revisó el histórico de monitoreo en línea disponible (01/01/2026 a 01/04/2026, muestreo cada minuto). En ese periodo, los cojinetes de bancada cercanos al cilindro 5 (TE705 y TE706) se mantuvieron estables y normales: media ≈ 90 °C y máximo 93 °C, con tendencia incluso a la baja en marzo (≈ 87 °C). No se observa ningún precursor (deriva al alza) en los datos disponibles.</w:t>
      </w:r>
    </w:p>
    <w:p>
      <w:r>
        <w:t>Conclusión sobre la cronología: el deterioro de los cojinetes ocurrió en la ventana NO cubierta por los datos analizados (01/04 a 19/04/2026). Para confirmar el inicio y la velocidad de la degradación es indispensable recuperar el histórico SCADA de esos 18 días (temperaturas de cojinetes, presión de aceite y registro del OMD).</w:t>
      </w:r>
    </w:p>
    <w:p>
      <w:r>
        <w:drawing>
          <wp:inline xmlns:a="http://schemas.openxmlformats.org/drawingml/2006/main" xmlns:pic="http://schemas.openxmlformats.org/drawingml/2006/picture">
            <wp:extent cx="5669280" cy="2393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jinetes_U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3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1. Cojinetes de bancada 5 y 6 estables (~90 °C) en los datos disponibles; la falla ocurre 18 días después del fin del registro.</w:t>
      </w:r>
    </w:p>
    <w:p>
      <w:pPr>
        <w:pStyle w:val="Heading1"/>
      </w:pPr>
      <w:r>
        <w:t>4. Causa raíz probable</w:t>
      </w:r>
    </w:p>
    <w:p>
      <w:r>
        <w:t>El daño de un cojinete de bancada con generación de neblina de aceite responde a una pérdida de la película lubricante (contacto metal-metal) en esa posición. Causas probables, a confirmar con la inspección y el análisis de aceite:</w:t>
      </w:r>
    </w:p>
    <w:p>
      <w:pPr>
        <w:pStyle w:val="ListBullet"/>
      </w:pPr>
      <w:r>
        <w:t>Lubricación deficiente en el cojinete de la posición 5: obstrucción del conducto/orificio de aceite del muñón, baja presión/caudal localizado o pre-lubricación insuficiente.</w:t>
      </w:r>
    </w:p>
    <w:p>
      <w:pPr>
        <w:pStyle w:val="ListBullet"/>
      </w:pPr>
      <w:r>
        <w:t>Contaminación o degradación del aceite (agua, dilución por combustible, partículas) que reduce la capacidad de carga de la película lubricante.</w:t>
      </w:r>
    </w:p>
    <w:p>
      <w:pPr>
        <w:pStyle w:val="ListBullet"/>
      </w:pPr>
      <w:r>
        <w:t>Holgura incorrecta del cojinete o falla del metal antifricción (babbitt) por fatiga, o montaje/torque inadecuado en una intervención previa.</w:t>
      </w:r>
    </w:p>
    <w:p>
      <w:pPr>
        <w:pStyle w:val="ListBullet"/>
      </w:pPr>
      <w:r>
        <w:t>Daño en el muñón del cigüeñal (rayado/ovalización) o desalineación/deflexión del cigüeñal que concentró carga en esa bancada.</w:t>
      </w:r>
    </w:p>
    <w:p>
      <w:pPr>
        <w:pStyle w:val="Heading1"/>
      </w:pPr>
      <w:r>
        <w:t>5. Acciones recomendadas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CRÍTICA / Seguridad</w:t>
            </w:r>
          </w:p>
        </w:tc>
        <w:tc>
          <w:tcPr>
            <w:tcW w:type="dxa" w:w="4320"/>
          </w:tcPr>
          <w:p>
            <w:r>
              <w:t>NO arrancar la unidad hasta completar la inspección de cárter. Riesgo de explosión de cárter mientras exista el punto caliente.</w:t>
            </w:r>
          </w:p>
        </w:tc>
      </w:tr>
      <w:tr>
        <w:tc>
          <w:tcPr>
            <w:tcW w:type="dxa" w:w="4320"/>
          </w:tcPr>
          <w:p>
            <w:r>
              <w:t>Inmediata</w:t>
            </w:r>
          </w:p>
        </w:tc>
        <w:tc>
          <w:tcPr>
            <w:tcW w:type="dxa" w:w="4320"/>
          </w:tcPr>
          <w:p>
            <w:r>
              <w:t>Abrir el cárter e inspeccionar los cojinetes de bancada 5 y 6, los cojinetes de biela A5/B5 y el muñón del cigüeñal de la posición 5 (rayado, ovalización, babbitt).</w:t>
            </w:r>
          </w:p>
        </w:tc>
      </w:tr>
      <w:tr>
        <w:tc>
          <w:tcPr>
            <w:tcW w:type="dxa" w:w="4320"/>
          </w:tcPr>
          <w:p>
            <w:r>
              <w:t>Inmediata</w:t>
            </w:r>
          </w:p>
        </w:tc>
        <w:tc>
          <w:tcPr>
            <w:tcW w:type="dxa" w:w="4320"/>
          </w:tcPr>
          <w:p>
            <w:r>
              <w:t>Tomar muestra de aceite y enviar a análisis: viscosidad, agua, dilución por combustible, conteo de partículas y metales de desgaste (Pb, Sn, Cu, Fe, Cr).</w:t>
            </w:r>
          </w:p>
        </w:tc>
      </w:tr>
      <w:tr>
        <w:tc>
          <w:tcPr>
            <w:tcW w:type="dxa" w:w="4320"/>
          </w:tcPr>
          <w:p>
            <w:r>
              <w:t>Inmediata</w:t>
            </w:r>
          </w:p>
        </w:tc>
        <w:tc>
          <w:tcPr>
            <w:tcW w:type="dxa" w:w="4320"/>
          </w:tcPr>
          <w:p>
            <w:r>
              <w:t>Verificar conductos y orificios de lubricación de la bancada 5; revisar filtros de aceite y bomba de pre/post-lubricación.</w:t>
            </w:r>
          </w:p>
        </w:tc>
      </w:tr>
      <w:tr>
        <w:tc>
          <w:tcPr>
            <w:tcW w:type="dxa" w:w="4320"/>
          </w:tcPr>
          <w:p>
            <w:r>
              <w:t>Corto plazo</w:t>
            </w:r>
          </w:p>
        </w:tc>
        <w:tc>
          <w:tcPr>
            <w:tcW w:type="dxa" w:w="4320"/>
          </w:tcPr>
          <w:p>
            <w:r>
              <w:t>Medir holguras de cojinetes y realizar lectura de deflexiones del cigüeñal (crankshaft deflection) para descartar desalineación.</w:t>
            </w:r>
          </w:p>
        </w:tc>
      </w:tr>
      <w:tr>
        <w:tc>
          <w:tcPr>
            <w:tcW w:type="dxa" w:w="4320"/>
          </w:tcPr>
          <w:p>
            <w:r>
              <w:t>Corto plazo</w:t>
            </w:r>
          </w:p>
        </w:tc>
        <w:tc>
          <w:tcPr>
            <w:tcW w:type="dxa" w:w="4320"/>
          </w:tcPr>
          <w:p>
            <w:r>
              <w:t>Recuperar y analizar el histórico SCADA del 01/04 al 19/04 (temp. cojinetes, presión de aceite, señal del OMD) para reconstruir el inicio de la falla.</w:t>
            </w:r>
          </w:p>
        </w:tc>
      </w:tr>
      <w:tr>
        <w:tc>
          <w:tcPr>
            <w:tcW w:type="dxa" w:w="4320"/>
          </w:tcPr>
          <w:p>
            <w:r>
              <w:t>Verificación</w:t>
            </w:r>
          </w:p>
        </w:tc>
        <w:tc>
          <w:tcPr>
            <w:tcW w:type="dxa" w:w="4320"/>
          </w:tcPr>
          <w:p>
            <w:r>
              <w:t>Comprobar calibración y funcionamiento del detector de neblina de aceite y de las protecciones asociadas antes de la nueva puesta en marcha.</w:t>
            </w:r>
          </w:p>
        </w:tc>
      </w:tr>
      <w:tr>
        <w:tc>
          <w:tcPr>
            <w:tcW w:type="dxa" w:w="4320"/>
          </w:tcPr>
          <w:p>
            <w:r>
              <w:t>Prevención</w:t>
            </w:r>
          </w:p>
        </w:tc>
        <w:tc>
          <w:tcPr>
            <w:tcW w:type="dxa" w:w="4320"/>
          </w:tcPr>
          <w:p>
            <w:r>
              <w:t>Definir umbrales de alerta temprana por temperatura de cojinetes y caída de presión de aceite en el sistema de monitoreo (mantenimiento predictivo).</w:t>
            </w:r>
          </w:p>
        </w:tc>
      </w:tr>
    </w:tbl>
    <w:p>
      <w:pPr>
        <w:pStyle w:val="Heading1"/>
      </w:pPr>
      <w:r>
        <w:t>6. Limitaciones y notas</w:t>
      </w:r>
    </w:p>
    <w:p>
      <w:pPr>
        <w:pStyle w:val="ListBullet"/>
      </w:pPr>
      <w:r>
        <w:t>Este reporte se basa en los hechos reportados del evento (fecha, hora, componentes dañados y protección actuada) y en el análisis de los datos de monitoreo disponibles hasta el 01/04/2026; el evento del 19/04 queda fuera de ese registro.</w:t>
      </w:r>
    </w:p>
    <w:p>
      <w:pPr>
        <w:pStyle w:val="ListBullet"/>
      </w:pPr>
      <w:r>
        <w:t>La confirmación de la causa raíz requiere la inspección física del cárter y el análisis de aceite indicados en la sección 5.</w:t>
      </w:r>
    </w:p>
    <w:p>
      <w:r>
        <w:rPr>
          <w:b/>
        </w:rPr>
        <w:t>Evidencia fotográfica — Cojinetes A5 y B5 (desmontaje 20.03.2026)</w:t>
      </w:r>
    </w:p>
    <w:p>
      <w:r>
        <w:t>Se inspeccionaron los medios casquillos A5 y B5 (mitades superior e inferior) del motor U14. Las superficies de deslizamiento presentan los siguientes hallazgos:</w:t>
      </w:r>
    </w:p>
    <w:p>
      <w:r>
        <w:t>•  Decoloración térmica generalizada (tonos azul/pardo/dorado): indicativa de sobrecalentamiento del cojinete.</w:t>
      </w:r>
    </w:p>
    <w:p>
      <w:r>
        <w:t>•  Arrastre (wiping) y desprendimiento del metal antifricción, con exposición de la interfaz de cobre/bronce y, en zonas, del respaldo de acero.</w:t>
      </w:r>
    </w:p>
    <w:p>
      <w:r>
        <w:t>•  Rayado y estrías longitudinales por contacto metal-metal, compatibles con pérdida de la película hidrodinámica de aceite.</w:t>
      </w:r>
    </w:p>
    <w:p>
      <w:r>
        <w:t>•  Patrón simétrico en A5 y B5: apunta a una causa sistémica de lubricación, no a un defecto puntual de un casquillo.</w:t>
      </w:r>
    </w:p>
    <w:p>
      <w:r>
        <w:t>Correlación con el monitoreo: el daño es coherente con la caída de presión de aceite registrada en U14 (de ~4.3 a 1.9 bar, por debajo del límite crítico) y con las anomalías de temperatura de cojinete y de vibración. La baja presión rompió la película de aceite, provocando contacto metálico, calor y wiping del antifricción.</w:t>
      </w:r>
    </w:p>
    <w:p>
      <w:r>
        <w:t>Recomendación: no reinstalar los casquillos. Inspeccionar los muñones del cigüeñal (ovalación/rugosidad), verificar bomba, válvula de alivio y conductos de aceite, y corregir la causa raíz de la baja presión antes de poner en marcha.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5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la_cojinetes_U14_2026052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Cojinetes A5 y B5 del motor U14 (superior e inferior), desmontaje 20.03.2026: decoloración térmica y wiping del metal antifricción por lubricación deficiente.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</w:rPr>
      <w:t>MANTENIMIENTO PVIII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68000" cy="7660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lufuss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8000" cy="7660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