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dañados</w:t>
            </w:r>
          </w:p>
        </w:tc>
        <w:tc>
          <w:tcPr>
            <w:tcW w:type="dxa" w:w="4320"/>
          </w:tcPr>
          <w:p>
            <w:r>
              <w:t>Cojinetes de bancada en la posición del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 (disparada por protección)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</w:tbl>
    <w:p>
      <w:pPr>
        <w:pStyle w:val="Heading1"/>
      </w:pPr>
      <w:r>
        <w:t>1.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correspondientes a la posición del cilindro 5 (bancos A5 y B5). La actuación del OMD es coherente con el daño encontrado: un cojinete en proceso de falla genera un punto caliente que vaporiza el aceite lubricante y produce neblina en el cárter; el OMD detecta esa concentración y dispara el motor para prevenir una explosión de cárter.</w:t>
      </w:r>
    </w:p>
    <w:p>
      <w:pPr>
        <w:pStyle w:val="Heading1"/>
      </w:pPr>
      <w:r>
        <w:t>2. Función de la protección actuada (OMD)</w:t>
      </w:r>
    </w:p>
    <w:p>
      <w:r>
        <w:t>El detector de neblina de aceite monitorea la concentración de niebla de aceite en el cárter. Un aumento súbito indica un punto caliente (típicamente un cojinete o pistón sobrecalentado) que está vaporizando el aceite. La protección dispara la unidad para evitar que la mezcla aire-niebla alcance condiciones de explosión. Su actuación confirma que existió un sobrecalentamiento localizado, consistente con la falla de los cojinetes de bancada de la posición 5.</w:t>
      </w:r>
    </w:p>
    <w:p>
      <w:pPr>
        <w:pStyle w:val="Heading1"/>
      </w:pPr>
      <w:r>
        <w:t>3. Análisis de datos de monitoreo disponibles (precursores)</w:t>
      </w:r>
    </w:p>
    <w:p>
      <w:r>
        <w:t>Se revisó el histórico de monitoreo en línea disponible (01/01/2026 a 01/04/2026, muestreo cada minuto). En ese periodo, los cojinetes de bancada cercanos al cilindro 5 (TE705 y TE706) se mantuvieron estables y normales: media ≈ 90 °C y máximo 93 °C, con tendencia incluso a la baja en marzo (≈ 87 °C). No se observa ningún precursor (deriva al alza) en los datos disponibles.</w:t>
      </w:r>
    </w:p>
    <w:p>
      <w:r>
        <w:t>Conclusión sobre la cronología: el deterioro de los cojinetes ocurrió en la ventana NO cubierta por los datos analizados (01/04 a 19/04/2026). Para confirmar el inicio y la velocidad de la degradación es indispensable recuperar el histórico SCADA de esos 18 días (temperaturas de cojinetes, presión de aceite y registro del OMD).</w:t>
      </w:r>
    </w:p>
    <w:p>
      <w:r>
        <w:drawing>
          <wp:inline xmlns:a="http://schemas.openxmlformats.org/drawingml/2006/main" xmlns:pic="http://schemas.openxmlformats.org/drawingml/2006/picture">
            <wp:extent cx="5669280" cy="2393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de bancada 5 y 6 estables (~90 °C) en los datos disponibles; la falla ocurre 18 días después del fin del registro.</w:t>
      </w:r>
    </w:p>
    <w:p>
      <w:pPr>
        <w:pStyle w:val="Heading1"/>
      </w:pPr>
      <w:r>
        <w:t>4. Causa raíz probable</w:t>
      </w:r>
    </w:p>
    <w:p>
      <w:r>
        <w:t>El daño de un cojinete de bancada con generación de neblina de aceite responde a una pérdida de la película lubricante (contacto metal-metal) en esa posición. Causas probables, a confirmar con la inspección y el análisis de aceite:</w:t>
      </w:r>
    </w:p>
    <w:p>
      <w:pPr>
        <w:pStyle w:val="ListBullet"/>
      </w:pPr>
      <w:r>
        <w:t>Lubricación deficiente en el cojinete de la posición 5: obstrucción del conducto/orificio de aceite del muñón, baja presión/caudal localizado o pre-lubricación insuficiente.</w:t>
      </w:r>
    </w:p>
    <w:p>
      <w:pPr>
        <w:pStyle w:val="ListBullet"/>
      </w:pPr>
      <w:r>
        <w:t>Contaminación o degradación del aceite (agua, dilución por combustible, partículas) que reduce la capacidad de carga de la película lubricante.</w:t>
      </w:r>
    </w:p>
    <w:p>
      <w:pPr>
        <w:pStyle w:val="ListBullet"/>
      </w:pPr>
      <w:r>
        <w:t>Holgura incorrecta del cojinete o falla del metal antifricción (babbitt) por fatiga, o montaje/torque inadecuado en una intervención previa.</w:t>
      </w:r>
    </w:p>
    <w:p>
      <w:pPr>
        <w:pStyle w:val="ListBullet"/>
      </w:pPr>
      <w:r>
        <w:t>Daño en el muñón del cigüeñal (rayado/ovalización) o desalineación/deflexión del cigüeñal que concentró carga en esa bancada.</w:t>
      </w:r>
    </w:p>
    <w:p>
      <w:pPr>
        <w:pStyle w:val="Heading1"/>
      </w:pPr>
      <w:r>
        <w:t>5. Acciones recomendadas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CRÍTICA / Seguridad</w:t>
            </w:r>
          </w:p>
        </w:tc>
        <w:tc>
          <w:tcPr>
            <w:tcW w:type="dxa" w:w="4320"/>
          </w:tcPr>
          <w:p>
            <w:r>
              <w:t>NO arrancar la unidad hasta completar la inspección de cárter. Riesgo de explosión de cárter mientras exista el punto caliente.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Abrir el cárter e inspeccionar los cojinetes de bancada 5 y 6, los cojinetes de biela A5/B5 y el muñón del cigüeñal de la posición 5 (rayado, ovalización, babbitt).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Tomar muestra de aceite y enviar a análisis: viscosidad, agua, dilución por combustible, conteo de partículas y metales de desgaste (Pb, Sn, Cu, Fe, Cr).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Verificar conductos y orificios de lubricación de la bancada 5; revisar filtros de aceite y bomba de pre/post-lubricación.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Medir holguras de cojinetes y realizar lectura de deflexiones del cigüeñal (crankshaft deflection) para descartar desalineación.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Recuperar y analizar el histórico SCADA del 01/04 al 19/04 (temp. cojinetes, presión de aceite, señal del OMD) para reconstruir el inicio de la falla.</w:t>
            </w:r>
          </w:p>
        </w:tc>
      </w:tr>
      <w:tr>
        <w:tc>
          <w:tcPr>
            <w:tcW w:type="dxa" w:w="4320"/>
          </w:tcPr>
          <w:p>
            <w:r>
              <w:t>Verificación</w:t>
            </w:r>
          </w:p>
        </w:tc>
        <w:tc>
          <w:tcPr>
            <w:tcW w:type="dxa" w:w="4320"/>
          </w:tcPr>
          <w:p>
            <w:r>
              <w:t>Comprobar calibración y funcionamiento del detector de neblina de aceite y de las protecciones asociadas antes de la nueva puesta en marcha.</w:t>
            </w:r>
          </w:p>
        </w:tc>
      </w:tr>
      <w:tr>
        <w:tc>
          <w:tcPr>
            <w:tcW w:type="dxa" w:w="4320"/>
          </w:tcPr>
          <w:p>
            <w:r>
              <w:t>Prevención</w:t>
            </w:r>
          </w:p>
        </w:tc>
        <w:tc>
          <w:tcPr>
            <w:tcW w:type="dxa" w:w="4320"/>
          </w:tcPr>
          <w:p>
            <w:r>
              <w:t>Definir umbrales de alerta temprana por temperatura de cojinetes y caída de presión de aceite en el sistema de monitoreo (mantenimiento predictivo).</w:t>
            </w:r>
          </w:p>
        </w:tc>
      </w:tr>
    </w:tbl>
    <w:p>
      <w:pPr>
        <w:pStyle w:val="Heading1"/>
      </w:pPr>
      <w:r>
        <w:t>6. Limitaciones y notas</w:t>
      </w:r>
    </w:p>
    <w:p>
      <w:pPr>
        <w:pStyle w:val="ListBullet"/>
      </w:pPr>
      <w:r>
        <w:t>Este reporte se basa en los hechos reportados del evento (fecha, hora, componentes dañados y protección actuada) y en el análisis de los datos de monitoreo disponibles hasta el 01/04/2026; el evento del 19/04 queda fuera de ese registro.</w:t>
      </w:r>
    </w:p>
    <w:p>
      <w:pPr>
        <w:pStyle w:val="ListBullet"/>
      </w:pPr>
      <w:r>
        <w:t>La confirmación de la causa raíz requiere la inspección física del cárter y el análisis de aceite indicados en la sección 5.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MANTENIMIENTO PVIII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68000" cy="7660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ufuss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7660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