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ANÁLISIS DE FALLA</w:t>
      </w:r>
    </w:p>
    <w:p>
      <w:r>
        <w:rPr>
          <w:b/>
          <w:sz w:val="26"/>
        </w:rPr>
        <w:t>Falla de cojinetes de bancada — Unidad U14 (Wärtsilä 18V46)</w:t>
      </w:r>
    </w:p>
    <w:p>
      <w:r>
        <w:rPr>
          <w:i/>
          <w:sz w:val="18"/>
        </w:rPr>
        <w:t>Documento de trabajo — los campos en blanco y las filas vacías deben completarse con los hallazgos de inspección, mediciones y resultados de laboratorio.</w:t>
      </w:r>
    </w:p>
    <w:p>
      <w:pPr>
        <w:pStyle w:val="Heading1"/>
      </w:pPr>
      <w:r>
        <w:t>1. Identificación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Unidad U14 — Wärtsilä 18V46 (~17.8 MW)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Orden de trabajo N°</w:t>
            </w:r>
          </w:p>
        </w:tc>
        <w:tc>
          <w:tcPr>
            <w:tcW w:type="dxa" w:w="4320"/>
          </w:tcPr>
          <w:p>
            <w:r>
              <w:t>OT-04 (sistema)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y hora del evento</w:t>
            </w:r>
          </w:p>
        </w:tc>
        <w:tc>
          <w:tcPr>
            <w:tcW w:type="dxa" w:w="4320"/>
          </w:tcPr>
          <w:p>
            <w:r>
              <w:t>19/04/2026, 23:10 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Protección que actuó</w:t>
            </w:r>
          </w:p>
        </w:tc>
        <w:tc>
          <w:tcPr>
            <w:tcW w:type="dxa" w:w="4320"/>
          </w:tcPr>
          <w:p>
            <w:r>
              <w:t>Detector de neblina de aceite (Oil Mist Detector, OMD)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Componentes afectados</w:t>
            </w:r>
          </w:p>
        </w:tc>
        <w:tc>
          <w:tcPr>
            <w:tcW w:type="dxa" w:w="4320"/>
          </w:tcPr>
          <w:p>
            <w:r>
              <w:t>Cojinetes de bancada — posición cilindro 5 (bancos A5 y B5)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Clasificación</w:t>
            </w:r>
          </w:p>
        </w:tc>
        <w:tc>
          <w:tcPr>
            <w:tcW w:type="dxa" w:w="4320"/>
          </w:tcPr>
          <w:p>
            <w:r>
              <w:t>FALLA MAYOR / CRÍTICA — riesgo de explosión de cárter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 la unidad</w:t>
            </w:r>
          </w:p>
        </w:tc>
        <w:tc>
          <w:tcPr>
            <w:tcW w:type="dxa" w:w="4320"/>
          </w:tcPr>
          <w:p>
            <w:r>
              <w:t>Fuera de servicio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Elaborado por</w:t>
            </w:r>
          </w:p>
        </w:tc>
        <w:tc>
          <w:tcPr>
            <w:tcW w:type="dxa" w:w="4320"/>
          </w:tcPr>
          <w:p>
            <w:r>
              <w:t>Luis Loo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emisión</w:t>
            </w:r>
          </w:p>
        </w:tc>
        <w:tc>
          <w:tcPr>
            <w:tcW w:type="dxa" w:w="4320"/>
          </w:tcPr>
          <w:p>
            <w:r>
              <w:t>31/05/2026</w:t>
            </w:r>
          </w:p>
        </w:tc>
      </w:tr>
    </w:tbl>
    <w:p>
      <w:r>
        <w:rPr>
          <w:b/>
        </w:rPr>
        <w:t xml:space="preserve">Horas de operación al momento de la falla: </w:t>
      </w:r>
      <w:r>
        <w:t>______________________________</w:t>
      </w:r>
    </w:p>
    <w:p>
      <w:r>
        <w:rPr>
          <w:b/>
        </w:rPr>
        <w:t xml:space="preserve">Condición de carga al disparo (kW): </w:t>
      </w:r>
      <w:r>
        <w:t>______________________________</w:t>
      </w:r>
    </w:p>
    <w:p>
      <w:r>
        <w:rPr>
          <w:b/>
        </w:rPr>
        <w:t xml:space="preserve">Operador / turno: </w:t>
      </w:r>
      <w:r>
        <w:t>______________________________</w:t>
      </w:r>
    </w:p>
    <w:p>
      <w:r>
        <w:rPr>
          <w:b/>
        </w:rPr>
        <w:t xml:space="preserve">Horas desde último mantenimiento mayor: </w:t>
      </w:r>
      <w:r>
        <w:t>______________________________</w:t>
      </w:r>
    </w:p>
    <w:p>
      <w:pPr>
        <w:pStyle w:val="Heading1"/>
      </w:pPr>
      <w:r>
        <w:t>2. Descripción del evento</w:t>
      </w:r>
    </w:p>
    <w:p>
      <w:r>
        <w:t>El 19/04/2026 a las 23:10 h la Unidad U14 disparó (trip) por actuación del detector de neblina de aceite (OMD). En la inspección posterior se encontraron dañados los cojinetes de bancada de la posición del cilindro 5 (bancos A5 y B5). La actuación del OMD es coherente con el daño: un cojinete en falla genera un punto caliente que vaporiza el aceite y produce neblina en el cárter; el OMD dispara para prevenir una explosión de cárter.</w:t>
      </w:r>
    </w:p>
    <w:p>
      <w:r>
        <w:t>Observaciones adicionales del operador / cronología del evento: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3. Análisis de datos de monitoreo (precursores)</w:t>
      </w:r>
    </w:p>
    <w:p>
      <w:r>
        <w:t>En el histórico disponible (01/01–01/04/2026, muestreo 1 min), los cojinetes de bancada cercanos al cilindro 5 (TE705 y TE706) se mantuvieron estables y normales (media ≈ 90 °C, máx 93 °C), sin precursores. El deterioro ocurrió en la ventana NO cubierta (01–19/04). Es indispensable recuperar el histórico SCADA de esos 18 días.</w:t>
      </w:r>
    </w:p>
    <w:p>
      <w:r>
        <w:drawing>
          <wp:inline xmlns:a="http://schemas.openxmlformats.org/drawingml/2006/main" xmlns:pic="http://schemas.openxmlformats.org/drawingml/2006/picture">
            <wp:extent cx="5486400" cy="2316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jinetes_U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Figura 1. Cojinetes 5 y 6 estables (~90 °C) en los datos disponibles; la falla ocurre 18 días después.</w:t>
      </w:r>
    </w:p>
    <w:p>
      <w:pPr>
        <w:pStyle w:val="Heading1"/>
      </w:pPr>
      <w:r>
        <w:t>4. Inspección física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(OK/Dañado)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Ref. foto</w:t>
            </w:r>
          </w:p>
        </w:tc>
      </w:tr>
      <w:tr>
        <w:tc>
          <w:tcPr>
            <w:tcW w:type="dxa" w:w="2160"/>
          </w:tcPr>
          <w:p>
            <w:r>
              <w:t>Cojinete bancada 5 (TE705)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bancada 6 (TE706)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A5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Cojinete de biela B5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Muñón del cigüeñal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Conductos / orificios de lubricación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5. Mediciones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medido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Norma / tolerancia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Holgura cojinete bancada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Holgura cojinete bancada 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Ovalización / conicidad muñón pos. 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Deflexión del cigüeñal (pos. 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Espesor de metal antifricción (babbitt)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Presión de aceite registrada al evento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6. Análisis de aceite</w:t>
      </w:r>
    </w:p>
    <w:p>
      <w:r>
        <w:t>Último análisis disponible: Chevron LubeWatch, muestra #303, tomada el 31/01/2026 (aceite TARO 40 XL SAE 40; 2.458 h de aceite, 128.520 h de unidad). Severidad global del laboratorio: 1 (≈ normal, sin acción urgente).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(#303)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Hierro (Fe)</w:t>
            </w:r>
          </w:p>
        </w:tc>
        <w:tc>
          <w:tcPr>
            <w:tcW w:type="dxa" w:w="2160"/>
          </w:tcPr>
          <w:p>
            <w:r>
              <w:t>26 ppm</w:t>
            </w:r>
          </w:p>
        </w:tc>
        <w:tc>
          <w:tcPr>
            <w:tcW w:type="dxa" w:w="2160"/>
          </w:tcPr>
          <w:p>
            <w:r>
              <w:t>alerta ~50</w:t>
            </w:r>
          </w:p>
        </w:tc>
        <w:tc>
          <w:tcPr>
            <w:tcW w:type="dxa" w:w="2160"/>
          </w:tcPr>
          <w:p>
            <w:r>
              <w:t>Normal (típico HFO)</w:t>
            </w:r>
          </w:p>
        </w:tc>
      </w:tr>
      <w:tr>
        <w:tc>
          <w:tcPr>
            <w:tcW w:type="dxa" w:w="2160"/>
          </w:tcPr>
          <w:p>
            <w:r>
              <w:t>Plomo (Pb)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 — metal de cojinete</w:t>
            </w:r>
          </w:p>
        </w:tc>
      </w:tr>
      <w:tr>
        <w:tc>
          <w:tcPr>
            <w:tcW w:type="dxa" w:w="2160"/>
          </w:tcPr>
          <w:p>
            <w:r>
              <w:t>Estaño (Sn)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 — babbitt</w:t>
            </w:r>
          </w:p>
        </w:tc>
      </w:tr>
      <w:tr>
        <w:tc>
          <w:tcPr>
            <w:tcW w:type="dxa" w:w="2160"/>
          </w:tcPr>
          <w:p>
            <w:r>
              <w:t>Aluminio (Al)</w:t>
            </w:r>
          </w:p>
        </w:tc>
        <w:tc>
          <w:tcPr>
            <w:tcW w:type="dxa" w:w="2160"/>
          </w:tcPr>
          <w:p>
            <w:r>
              <w:t>5 ppm</w:t>
            </w:r>
          </w:p>
        </w:tc>
        <w:tc>
          <w:tcPr>
            <w:tcW w:type="dxa" w:w="2160"/>
          </w:tcPr>
          <w:p>
            <w:r>
              <w:t>alerta ~20</w:t>
            </w:r>
          </w:p>
        </w:tc>
        <w:tc>
          <w:tcPr>
            <w:tcW w:type="dxa" w:w="2160"/>
          </w:tcPr>
          <w:p>
            <w:r>
              <w:t>Normal — cojinete Al-Sn</w:t>
            </w:r>
          </w:p>
        </w:tc>
      </w:tr>
      <w:tr>
        <w:tc>
          <w:tcPr>
            <w:tcW w:type="dxa" w:w="2160"/>
          </w:tcPr>
          <w:p>
            <w:r>
              <w:t>Cobre (Cu)</w:t>
            </w:r>
          </w:p>
        </w:tc>
        <w:tc>
          <w:tcPr>
            <w:tcW w:type="dxa" w:w="2160"/>
          </w:tcPr>
          <w:p>
            <w:r>
              <w:t>1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Níquel (Ni)</w:t>
            </w:r>
          </w:p>
        </w:tc>
        <w:tc>
          <w:tcPr>
            <w:tcW w:type="dxa" w:w="2160"/>
          </w:tcPr>
          <w:p>
            <w:r>
              <w:t>227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Alto: contaminante de HFO (no desgaste)</w:t>
            </w:r>
          </w:p>
        </w:tc>
      </w:tr>
      <w:tr>
        <w:tc>
          <w:tcPr>
            <w:tcW w:type="dxa" w:w="2160"/>
          </w:tcPr>
          <w:p>
            <w:r>
              <w:t>Vanadio (V)</w:t>
            </w:r>
          </w:p>
        </w:tc>
        <w:tc>
          <w:tcPr>
            <w:tcW w:type="dxa" w:w="2160"/>
          </w:tcPr>
          <w:p>
            <w:r>
              <w:t>666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Alto: contaminante de HFO (no desgaste)</w:t>
            </w:r>
          </w:p>
        </w:tc>
      </w:tr>
      <w:tr>
        <w:tc>
          <w:tcPr>
            <w:tcW w:type="dxa" w:w="2160"/>
          </w:tcPr>
          <w:p>
            <w:r>
              <w:t>Silicio (Si) / Sodio (Na)</w:t>
            </w:r>
          </w:p>
        </w:tc>
        <w:tc>
          <w:tcPr>
            <w:tcW w:type="dxa" w:w="2160"/>
          </w:tcPr>
          <w:p>
            <w:r>
              <w:t>20 / 53 ppm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Menor (suciedad)</w:t>
            </w:r>
          </w:p>
        </w:tc>
      </w:tr>
      <w:tr>
        <w:tc>
          <w:tcPr>
            <w:tcW w:type="dxa" w:w="2160"/>
          </w:tcPr>
          <w:p>
            <w:r>
              <w:t>Viscosidad @40 °C</w:t>
            </w:r>
          </w:p>
        </w:tc>
        <w:tc>
          <w:tcPr>
            <w:tcW w:type="dxa" w:w="2160"/>
          </w:tcPr>
          <w:p>
            <w:r>
              <w:t>146 cSt</w:t>
            </w:r>
          </w:p>
        </w:tc>
        <w:tc>
          <w:tcPr>
            <w:tcW w:type="dxa" w:w="2160"/>
          </w:tcPr>
          <w:p>
            <w:r>
              <w:t>SAE 40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Dilución por combustible</w:t>
            </w:r>
          </w:p>
        </w:tc>
        <w:tc>
          <w:tcPr>
            <w:tcW w:type="dxa" w:w="2160"/>
          </w:tcPr>
          <w:p>
            <w:r>
              <w:t>&lt; 0,1 %</w:t>
            </w:r>
          </w:p>
        </w:tc>
        <w:tc>
          <w:tcPr>
            <w:tcW w:type="dxa" w:w="2160"/>
          </w:tcPr>
          <w:p>
            <w:r>
              <w:t>&lt; 2 %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Agua (Karl Fischer)</w:t>
            </w:r>
          </w:p>
        </w:tc>
        <w:tc>
          <w:tcPr>
            <w:tcW w:type="dxa" w:w="2160"/>
          </w:tcPr>
          <w:p>
            <w:r>
              <w:t>976 ppm (~0,10 %)</w:t>
            </w:r>
          </w:p>
        </w:tc>
        <w:tc>
          <w:tcPr>
            <w:tcW w:type="dxa" w:w="2160"/>
          </w:tcPr>
          <w:p>
            <w:r>
              <w:t>&lt; 2000 ppm</w:t>
            </w:r>
          </w:p>
        </w:tc>
        <w:tc>
          <w:tcPr>
            <w:tcW w:type="dxa" w:w="2160"/>
          </w:tcPr>
          <w:p>
            <w:r>
              <w:t>Menor (¿muestreo en frío?)</w:t>
            </w:r>
          </w:p>
        </w:tc>
      </w:tr>
      <w:tr>
        <w:tc>
          <w:tcPr>
            <w:tcW w:type="dxa" w:w="2160"/>
          </w:tcPr>
          <w:p>
            <w:r>
              <w:t>TBN (D2896)</w:t>
            </w:r>
          </w:p>
        </w:tc>
        <w:tc>
          <w:tcPr>
            <w:tcW w:type="dxa" w:w="2160"/>
          </w:tcPr>
          <w:p>
            <w:r>
              <w:t>24,5 mgKOH/g</w:t>
            </w:r>
          </w:p>
        </w:tc>
        <w:tc>
          <w:tcPr>
            <w:tcW w:type="dxa" w:w="2160"/>
          </w:tcPr>
          <w:p>
            <w:r>
              <w:t>≥ ~15-20</w:t>
            </w:r>
          </w:p>
        </w:tc>
        <w:tc>
          <w:tcPr>
            <w:tcW w:type="dxa" w:w="2160"/>
          </w:tcPr>
          <w:p>
            <w:r>
              <w:t>Adecuado (venía de 27,7)</w:t>
            </w:r>
          </w:p>
        </w:tc>
      </w:tr>
      <w:tr>
        <w:tc>
          <w:tcPr>
            <w:tcW w:type="dxa" w:w="2160"/>
          </w:tcPr>
          <w:p>
            <w:r>
              <w:t>Oxidación / Nitración</w:t>
            </w:r>
          </w:p>
        </w:tc>
        <w:tc>
          <w:tcPr>
            <w:tcW w:type="dxa" w:w="2160"/>
          </w:tcPr>
          <w:p>
            <w:r>
              <w:t>4 / 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</w:tbl>
    <w:p>
      <w:r>
        <w:rPr>
          <w:b/>
        </w:rPr>
        <w:t xml:space="preserve">Interpretación: </w:t>
      </w:r>
      <w:r>
        <w:t>los metales del antifricción (plomo, estaño, aluminio, cobre) están en niveles despreciables (0–2 ppm), por lo que el análisis NO mostraba precursor de falla de cojinetes al 31/01/2026. Esto corrobora el monitoreo SCADA (cojinetes ~90 °C, normales hasta el 01/04). El níquel y el vanadio altos son contaminantes propios del HFO, no desgaste. Conclusión: el deterioro de los cojinetes fue rápido y posterior a estas fechas.</w:t>
      </w:r>
    </w:p>
    <w:p>
      <w:r>
        <w:rPr>
          <w:b/>
        </w:rPr>
        <w:t xml:space="preserve">Brecha de monitoreo: </w:t>
      </w:r>
      <w:r>
        <w:t>el último análisis de aceite es del 31/01, ~2,5 meses antes de la falla (19/04). Se recomienda acortar la frecuencia de muestreo y tomar muestra ante cualquier anomalía. El agua recurrente (~0,10 %) y el sodio conviene verificarlos en la próxima muestra.</w:t>
      </w:r>
    </w:p>
    <w:p>
      <w:r>
        <w:t>Resultados del análisis de aceite POSTERIOR a la falla (completar):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Límite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Evaluación</w:t>
            </w:r>
          </w:p>
        </w:tc>
      </w:tr>
      <w:tr>
        <w:tc>
          <w:tcPr>
            <w:tcW w:type="dxa" w:w="2160"/>
          </w:tcPr>
          <w:p>
            <w:r>
              <w:t>Plomo (Pb)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Estaño (Sn)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Aluminio (Al)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Hierro (Fe)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Agua / otros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7. Causa raíz</w:t>
      </w:r>
    </w:p>
    <w:p>
      <w:r>
        <w:t>Causas probables (a confirmar con inspección y análisis de aceite):</w:t>
      </w:r>
    </w:p>
    <w:p>
      <w:pPr>
        <w:pStyle w:val="ListBullet"/>
      </w:pPr>
      <w:r>
        <w:t>Lubricación deficiente en la bancada 5 (conducto obstruido, baja presión/caudal, pre-lubricación insuficiente).</w:t>
      </w:r>
    </w:p>
    <w:p>
      <w:pPr>
        <w:pStyle w:val="ListBullet"/>
      </w:pPr>
      <w:r>
        <w:t>Contaminación o degradación del aceite (agua, combustible, partículas).</w:t>
      </w:r>
    </w:p>
    <w:p>
      <w:pPr>
        <w:pStyle w:val="ListBullet"/>
      </w:pPr>
      <w:r>
        <w:t>Holgura incorrecta o fatiga del metal antifricción; montaje/torque inadecuado.</w:t>
      </w:r>
    </w:p>
    <w:p>
      <w:pPr>
        <w:pStyle w:val="ListBullet"/>
      </w:pPr>
      <w:r>
        <w:t>Daño en el muñón del cigüeñal o desalineación/deflexión.</w:t>
      </w:r>
    </w:p>
    <w:p>
      <w:r>
        <w:rPr>
          <w:b/>
        </w:rPr>
        <w:t xml:space="preserve">Causa raíz CONFIRMADA: </w:t>
      </w:r>
      <w:r>
        <w:t>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8. Acciones correctivas ejecutadas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9. Repuestos utilizados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Repuesto /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N° de parte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10. Costos (completar)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Monto ($)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Mano de obra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Servicios / terceros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Indisponibilidad (lucro cesante)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11. Conclusiones y recomendaciones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1"/>
      </w:pPr>
      <w:r>
        <w:t>12. 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Elaboró</w:t>
            </w:r>
          </w:p>
        </w:tc>
        <w:tc>
          <w:tcPr>
            <w:tcW w:type="dxa" w:w="2880"/>
          </w:tcPr>
          <w:p>
            <w:r>
              <w:t>Revisó</w:t>
            </w:r>
          </w:p>
        </w:tc>
        <w:tc>
          <w:tcPr>
            <w:tcW w:type="dxa" w:w="2880"/>
          </w:tcPr>
          <w:p>
            <w:r>
              <w:t>Aprobó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  <w:tc>
          <w:tcPr>
            <w:tcW w:type="dxa" w:w="2880"/>
          </w:tcPr>
          <w:p>
            <w:r>
              <w:br/>
              <w:br/>
              <w:t>Nombre: __________</w:t>
              <w:br/>
              <w:t>Fecha: 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