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p>
      <w:r>
        <w:rPr>
          <w:b/>
        </w:rPr>
        <w:t>Evidencia fotográfica — Cojinetes A5 y B5 (desmontaje 20.03.2026)</w:t>
      </w:r>
    </w:p>
    <w:p>
      <w:r>
        <w:t>Se inspeccionaron los medios casquillos A5 y B5 (mitades superior e inferior) del motor U14. Las superficies de deslizamiento presentan los siguientes hallazgos:</w:t>
      </w:r>
    </w:p>
    <w:p>
      <w:r>
        <w:t>•  Decoloración térmica generalizada (tonos azul/pardo/dorado): indicativa de sobrecalentamiento del cojinete.</w:t>
      </w:r>
    </w:p>
    <w:p>
      <w:r>
        <w:t>•  Arrastre (wiping) y desprendimiento del metal antifricción, con exposición de la interfaz de cobre/bronce y, en zonas, del respaldo de acero.</w:t>
      </w:r>
    </w:p>
    <w:p>
      <w:r>
        <w:t>•  Rayado y estrías longitudinales por contacto metal-metal, compatibles con pérdida de la película hidrodinámica de aceite.</w:t>
      </w:r>
    </w:p>
    <w:p>
      <w:r>
        <w:t>•  Patrón simétrico en A5 y B5: apunta a una causa sistémica de lubricación, no a un defecto puntual de un casquillo.</w:t>
      </w:r>
    </w:p>
    <w:p>
      <w:r>
        <w:t>Correlación con el monitoreo: el daño es coherente con la caída de presión de aceite registrada en U14 (de ~4.3 a 1.9 bar, por debajo del límite crítico) y con las anomalías de temperatura de cojinete y de vibración. La baja presión rompió la película de aceite, provocando contacto metálico, calor y wiping del antifricción.</w:t>
      </w:r>
    </w:p>
    <w:p>
      <w:r>
        <w:t>Vínculo con el análisis de aceite: este patrón de desgaste debe contrastarse con el análisis de aceite del U14 (presencia de partículas de Sn/Pb/Cu por wiping del antifricción, y de Fe del respaldo/cigüeñal), que confirmaría el contacto metal-metal.</w:t>
      </w:r>
    </w:p>
    <w:p>
      <w:r>
        <w:t>Recomendación: no reinstalar los casquillos. Inspeccionar los muñones del cigüeñal (ovalación/rugosidad), verificar bomba, válvula de alivio y conductos de aceite, y corregir la causa raíz de la baja presión antes de poner en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a_cojinetes_U14_2026052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Cojinetes A5 y B5 del motor U14 (superior e inferior), desmontaje 20.03.2026: decoloración térmica y wiping del metal antifricción por lubricación deficiente.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</w:t>
      </w:r>
    </w:p>
    <w:p>
      <w:r>
        <w:t>Último análisis disponible: Chevron LubeWatch, muestra #303, tomada el 31/01/2026 (aceite TARO 40 XL SAE 40; 2.458 h de aceite, 128.520 h de unidad). Severidad global del laboratorio: 1 (≈ normal, sin acción urgente).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(#303)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>
              <w:t>26 ppm</w:t>
            </w:r>
          </w:p>
        </w:tc>
        <w:tc>
          <w:tcPr>
            <w:tcW w:type="dxa" w:w="2160"/>
          </w:tcPr>
          <w:p>
            <w:r>
              <w:t>alerta ~50</w:t>
            </w:r>
          </w:p>
        </w:tc>
        <w:tc>
          <w:tcPr>
            <w:tcW w:type="dxa" w:w="2160"/>
          </w:tcPr>
          <w:p>
            <w:r>
              <w:t>Normal (típico HFO)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metal de cojinete</w:t>
            </w:r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babbitt</w:t>
            </w:r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>
              <w:t>5 ppm</w:t>
            </w:r>
          </w:p>
        </w:tc>
        <w:tc>
          <w:tcPr>
            <w:tcW w:type="dxa" w:w="2160"/>
          </w:tcPr>
          <w:p>
            <w:r>
              <w:t>alerta ~20</w:t>
            </w:r>
          </w:p>
        </w:tc>
        <w:tc>
          <w:tcPr>
            <w:tcW w:type="dxa" w:w="2160"/>
          </w:tcPr>
          <w:p>
            <w:r>
              <w:t>Normal — cojinete Al-Sn</w:t>
            </w:r>
          </w:p>
        </w:tc>
      </w:tr>
      <w:tr>
        <w:tc>
          <w:tcPr>
            <w:tcW w:type="dxa" w:w="2160"/>
          </w:tcPr>
          <w:p>
            <w:r>
              <w:t>Cobre (Cu)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Níquel (Ni)</w:t>
            </w:r>
          </w:p>
        </w:tc>
        <w:tc>
          <w:tcPr>
            <w:tcW w:type="dxa" w:w="2160"/>
          </w:tcPr>
          <w:p>
            <w:r>
              <w:t>227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Vanadio (V)</w:t>
            </w:r>
          </w:p>
        </w:tc>
        <w:tc>
          <w:tcPr>
            <w:tcW w:type="dxa" w:w="2160"/>
          </w:tcPr>
          <w:p>
            <w:r>
              <w:t>666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Silicio (Si) / Sodio (Na)</w:t>
            </w:r>
          </w:p>
        </w:tc>
        <w:tc>
          <w:tcPr>
            <w:tcW w:type="dxa" w:w="2160"/>
          </w:tcPr>
          <w:p>
            <w:r>
              <w:t>20 / 53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Menor (suciedad)</w:t>
            </w:r>
          </w:p>
        </w:tc>
      </w:tr>
      <w:tr>
        <w:tc>
          <w:tcPr>
            <w:tcW w:type="dxa" w:w="2160"/>
          </w:tcPr>
          <w:p>
            <w:r>
              <w:t>Viscosidad @40 °C</w:t>
            </w:r>
          </w:p>
        </w:tc>
        <w:tc>
          <w:tcPr>
            <w:tcW w:type="dxa" w:w="2160"/>
          </w:tcPr>
          <w:p>
            <w:r>
              <w:t>146 cSt</w:t>
            </w:r>
          </w:p>
        </w:tc>
        <w:tc>
          <w:tcPr>
            <w:tcW w:type="dxa" w:w="2160"/>
          </w:tcPr>
          <w:p>
            <w:r>
              <w:t>SAE 40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Dilución por combustible</w:t>
            </w:r>
          </w:p>
        </w:tc>
        <w:tc>
          <w:tcPr>
            <w:tcW w:type="dxa" w:w="2160"/>
          </w:tcPr>
          <w:p>
            <w:r>
              <w:t>&lt; 0,1 %</w:t>
            </w:r>
          </w:p>
        </w:tc>
        <w:tc>
          <w:tcPr>
            <w:tcW w:type="dxa" w:w="2160"/>
          </w:tcPr>
          <w:p>
            <w:r>
              <w:t>&lt; 2 %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Agua (Karl Fischer)</w:t>
            </w:r>
          </w:p>
        </w:tc>
        <w:tc>
          <w:tcPr>
            <w:tcW w:type="dxa" w:w="2160"/>
          </w:tcPr>
          <w:p>
            <w:r>
              <w:t>976 ppm (~0,10 %)</w:t>
            </w:r>
          </w:p>
        </w:tc>
        <w:tc>
          <w:tcPr>
            <w:tcW w:type="dxa" w:w="2160"/>
          </w:tcPr>
          <w:p>
            <w:r>
              <w:t>&lt; 2000 ppm</w:t>
            </w:r>
          </w:p>
        </w:tc>
        <w:tc>
          <w:tcPr>
            <w:tcW w:type="dxa" w:w="2160"/>
          </w:tcPr>
          <w:p>
            <w:r>
              <w:t>Menor (¿muestreo en frío?)</w:t>
            </w:r>
          </w:p>
        </w:tc>
      </w:tr>
      <w:tr>
        <w:tc>
          <w:tcPr>
            <w:tcW w:type="dxa" w:w="2160"/>
          </w:tcPr>
          <w:p>
            <w:r>
              <w:t>TBN (D2896)</w:t>
            </w:r>
          </w:p>
        </w:tc>
        <w:tc>
          <w:tcPr>
            <w:tcW w:type="dxa" w:w="2160"/>
          </w:tcPr>
          <w:p>
            <w:r>
              <w:t>24,5 mgKOH/g</w:t>
            </w:r>
          </w:p>
        </w:tc>
        <w:tc>
          <w:tcPr>
            <w:tcW w:type="dxa" w:w="2160"/>
          </w:tcPr>
          <w:p>
            <w:r>
              <w:t>≥ ~15-20</w:t>
            </w:r>
          </w:p>
        </w:tc>
        <w:tc>
          <w:tcPr>
            <w:tcW w:type="dxa" w:w="2160"/>
          </w:tcPr>
          <w:p>
            <w:r>
              <w:t>Adecuado (venía de 27,7)</w:t>
            </w:r>
          </w:p>
        </w:tc>
      </w:tr>
      <w:tr>
        <w:tc>
          <w:tcPr>
            <w:tcW w:type="dxa" w:w="2160"/>
          </w:tcPr>
          <w:p>
            <w:r>
              <w:t>Oxidación / Nitración</w:t>
            </w:r>
          </w:p>
        </w:tc>
        <w:tc>
          <w:tcPr>
            <w:tcW w:type="dxa" w:w="2160"/>
          </w:tcPr>
          <w:p>
            <w:r>
              <w:t>4 / 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p>
      <w:r>
        <w:rPr>
          <w:b/>
        </w:rPr>
        <w:t xml:space="preserve">Interpretación: </w:t>
      </w:r>
      <w:r>
        <w:t>los metales del antifricción (plomo, estaño, aluminio, cobre) están en niveles despreciables (0–2 ppm), por lo que el análisis NO mostraba precursor de falla de cojinetes al 31/01/2026. Esto corrobora el monitoreo SCADA (cojinetes ~90 °C, normales hasta el 01/04). El níquel y el vanadio altos son contaminantes propios del HFO, no desgaste. Conclusión: el deterioro de los cojinetes fue rápido y posterior a estas fechas.</w:t>
      </w:r>
    </w:p>
    <w:p>
      <w:r>
        <w:rPr>
          <w:b/>
        </w:rPr>
        <w:t xml:space="preserve">Brecha de monitoreo: </w:t>
      </w:r>
      <w:r>
        <w:t>el último análisis de aceite es del 31/01, ~2,5 meses antes de la falla (19/04). Se recomienda acortar la frecuencia de muestreo y tomar muestra ante cualquier anomalía. El agua recurrente (~0,10 %) y el sodio conviene verificarlos en la próxima muestra.</w:t>
      </w:r>
    </w:p>
    <w:p>
      <w:r>
        <w:t>Resultados del análisis de aceite POSTERIOR a la falla (completar):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Agua / 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MANTENIMIENTO PVIII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68000" cy="7660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ufuss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7660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