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Falla de cojinetes de bancada — Unidad U14 (Wärtsilä 18V46)</w:t>
      </w:r>
    </w:p>
    <w:p>
      <w:r>
        <w:rPr>
          <w:i/>
          <w:sz w:val="18"/>
        </w:rPr>
        <w:t>Documento de trabajo — los campos en blanco y las filas vacías deben completarse con los hallazgos de inspección, mediciones y resultados de laboratorio.</w:t>
      </w:r>
    </w:p>
    <w:p>
      <w:pPr>
        <w:pStyle w:val="Heading1"/>
      </w:pPr>
      <w:r>
        <w:t>1. Identificación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Orden de trabajo N°</w:t>
            </w:r>
          </w:p>
        </w:tc>
        <w:tc>
          <w:tcPr>
            <w:tcW w:type="dxa" w:w="4320"/>
          </w:tcPr>
          <w:p>
            <w:r>
              <w:t>OT-04 (sistema)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y hora del evento</w:t>
            </w:r>
          </w:p>
        </w:tc>
        <w:tc>
          <w:tcPr>
            <w:tcW w:type="dxa" w:w="4320"/>
          </w:tcPr>
          <w:p>
            <w:r>
              <w:t>19/04/2026, 23:10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Protección que actuó</w:t>
            </w:r>
          </w:p>
        </w:tc>
        <w:tc>
          <w:tcPr>
            <w:tcW w:type="dxa" w:w="4320"/>
          </w:tcPr>
          <w:p>
            <w:r>
              <w:t>Detector de neblina de aceite (Oil Mist Detector, OMD)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 afectados</w:t>
            </w:r>
          </w:p>
        </w:tc>
        <w:tc>
          <w:tcPr>
            <w:tcW w:type="dxa" w:w="4320"/>
          </w:tcPr>
          <w:p>
            <w:r>
              <w:t>Cojinetes de bancada — posición cilindro 5 (bancos A5 y B5)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MAYOR / CRÍTICA — riesgo de explosión de cárter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unidad</w:t>
            </w:r>
          </w:p>
        </w:tc>
        <w:tc>
          <w:tcPr>
            <w:tcW w:type="dxa" w:w="4320"/>
          </w:tcPr>
          <w:p>
            <w:r>
              <w:t>Fuera de servicio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</w:tbl>
    <w:p>
      <w:r>
        <w:rPr>
          <w:b/>
        </w:rPr>
        <w:t xml:space="preserve">Horas de operación al momento de la falla: </w:t>
      </w:r>
      <w:r>
        <w:t>______________________________</w:t>
      </w:r>
    </w:p>
    <w:p>
      <w:r>
        <w:rPr>
          <w:b/>
        </w:rPr>
        <w:t xml:space="preserve">Condición de carga al disparo (kW): </w:t>
      </w:r>
      <w:r>
        <w:t>______________________________</w:t>
      </w:r>
    </w:p>
    <w:p>
      <w:r>
        <w:rPr>
          <w:b/>
        </w:rPr>
        <w:t xml:space="preserve">Operador / turno: </w:t>
      </w:r>
      <w:r>
        <w:t>______________________________</w:t>
      </w:r>
    </w:p>
    <w:p>
      <w:r>
        <w:rPr>
          <w:b/>
        </w:rPr>
        <w:t xml:space="preserve">Horas desde último mantenimiento mayor: </w:t>
      </w:r>
      <w:r>
        <w:t>______________________________</w:t>
      </w:r>
    </w:p>
    <w:p>
      <w:pPr>
        <w:pStyle w:val="Heading1"/>
      </w:pPr>
      <w:r>
        <w:t>2. Descripción del evento</w:t>
      </w:r>
    </w:p>
    <w:p>
      <w:r>
        <w:t>El 19/04/2026 a las 23:10 h la Unidad U14 disparó (trip) por actuación del detector de neblina de aceite (OMD). En la inspección posterior se encontraron dañados los cojinetes de bancada de la posición del cilindro 5 (bancos A5 y B5). La actuación del OMD es coherente con el daño: un cojinete en falla genera un punto caliente que vaporiza el aceite y produce neblina en el cárter; el OMD dispara para prevenir una explosión de cárter.</w:t>
      </w:r>
    </w:p>
    <w:p>
      <w:r>
        <w:t>Observaciones adicionales del operador / cronología del evento: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3. Análisis de datos de monitoreo (precursores)</w:t>
      </w:r>
    </w:p>
    <w:p>
      <w:r>
        <w:t>En el histórico disponible (01/01–01/04/2026, muestreo 1 min), los cojinetes de bancada cercanos al cilindro 5 (TE705 y TE706) se mantuvieron estables y normales (media ≈ 90 °C, máx 93 °C), sin precursores. El deterioro ocurrió en la ventana NO cubierta (01–19/04). Es indispensable recuperar el histórico SCADA de esos 18 días.</w:t>
      </w:r>
    </w:p>
    <w:p>
      <w:r>
        <w:drawing>
          <wp:inline xmlns:a="http://schemas.openxmlformats.org/drawingml/2006/main" xmlns:pic="http://schemas.openxmlformats.org/drawingml/2006/picture">
            <wp:extent cx="5486400" cy="231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jinetes_U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Cojinetes 5 y 6 estables (~90 °C) en los datos disponibles; la falla ocurre 18 días después.</w:t>
      </w:r>
    </w:p>
    <w:p>
      <w:pPr>
        <w:pStyle w:val="Heading1"/>
      </w:pPr>
      <w:r>
        <w:t>4. Inspección física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(OK/Dañado)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Ref. foto</w:t>
            </w:r>
          </w:p>
        </w:tc>
      </w:tr>
      <w:tr>
        <w:tc>
          <w:tcPr>
            <w:tcW w:type="dxa" w:w="2160"/>
          </w:tcPr>
          <w:p>
            <w:r>
              <w:t>Cojinete bancada 5 (TE705)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bancada 6 (TE706)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A5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B5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Muñón del cigüeñal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Conductos / orificios de lubricación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Otros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5. Mediciones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medido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Norma / tolerancia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Holgura cojinete bancada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Holgura cojinete bancada 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Ovalización / conicidad muñón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Deflexión del cigüeñal (pos. 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Espesor de metal antifricción (babbitt)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Presión de aceite registrada al evento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6. Análisis de aceite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Límite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Viscosidad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Contenido de agua (%)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Dilución por combustible (%)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Conteo de partículas (ISO 4406)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Plomo (Pb)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Estaño (Sn)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Cobre (Cu)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Hierro (Fe)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Cromo (Cr) ppm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7. Causa raíz</w:t>
      </w:r>
    </w:p>
    <w:p>
      <w:r>
        <w:t>Causas probables (a confirmar con inspección y análisis de aceite):</w:t>
      </w:r>
    </w:p>
    <w:p>
      <w:pPr>
        <w:pStyle w:val="ListBullet"/>
      </w:pPr>
      <w:r>
        <w:t>Lubricación deficiente en la bancada 5 (conducto obstruido, baja presión/caudal, pre-lubricación insuficiente).</w:t>
      </w:r>
    </w:p>
    <w:p>
      <w:pPr>
        <w:pStyle w:val="ListBullet"/>
      </w:pPr>
      <w:r>
        <w:t>Contaminación o degradación del aceite (agua, combustible, partículas).</w:t>
      </w:r>
    </w:p>
    <w:p>
      <w:pPr>
        <w:pStyle w:val="ListBullet"/>
      </w:pPr>
      <w:r>
        <w:t>Holgura incorrecta o fatiga del metal antifricción; montaje/torque inadecuado.</w:t>
      </w:r>
    </w:p>
    <w:p>
      <w:pPr>
        <w:pStyle w:val="ListBullet"/>
      </w:pPr>
      <w:r>
        <w:t>Daño en el muñón del cigüeñal o desalineación/deflexión.</w:t>
      </w:r>
    </w:p>
    <w:p>
      <w:r>
        <w:rPr>
          <w:b/>
        </w:rPr>
        <w:t xml:space="preserve">Causa raíz CONFIRMADA: </w:t>
      </w:r>
      <w:r>
        <w:t>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8. Acciones correctivas ejecutadas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9. Repuestos utilizados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Repuesto /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N° de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10. Costos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($)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Mano de obra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Servicios / terceros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Indisponibilidad (lucro cesante)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11. Conclusiones y recomendaciones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12.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Elaboró</w:t>
            </w:r>
          </w:p>
        </w:tc>
        <w:tc>
          <w:tcPr>
            <w:tcW w:type="dxa" w:w="2880"/>
          </w:tcPr>
          <w:p>
            <w:r>
              <w:t>Revisó</w:t>
            </w:r>
          </w:p>
        </w:tc>
        <w:tc>
          <w:tcPr>
            <w:tcW w:type="dxa" w:w="2880"/>
          </w:tcPr>
          <w:p>
            <w:r>
              <w:t>Aprobó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