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Unidad U14 — Motor Wärtsilä 18V46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(18 cil. en V, 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Periodo analizado</w:t>
            </w:r>
          </w:p>
        </w:tc>
        <w:tc>
          <w:tcPr>
            <w:tcW w:type="dxa" w:w="4320"/>
          </w:tcPr>
          <w:p>
            <w:r>
              <w:t>01/01/2026 – 01/04/2026 (3 meses, muestreo cada 1 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Registros procesados</w:t>
            </w:r>
          </w:p>
        </w:tc>
        <w:tc>
          <w:tcPr>
            <w:tcW w:type="dxa" w:w="4320"/>
          </w:tcPr>
          <w:p>
            <w:r>
              <w:t>129,601 lecturas × ~130 variables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de combustión en un cilindro (no catastrófica)</w:t>
            </w:r>
          </w:p>
        </w:tc>
      </w:tr>
    </w:tbl>
    <w:p>
      <w:pPr>
        <w:pStyle w:val="Heading1"/>
      </w:pPr>
      <w:r>
        <w:t>1. Resumen ejecutivo</w:t>
      </w:r>
    </w:p>
    <w:p>
      <w:r>
        <w:t>El análisis de los datos de monitoreo en línea de la Unidad U14 identificó una falla de combustión en el cilindro A8: entre el 14/01/2026 22:50 y el 18/01/2026 06:42, dicho cilindro operó hasta 180–198 °C por debajo del promedio de su banco estando el motor a plena carga (≈16 MW). El comportamiento corresponde a un cilindro que no aporta combustión normal, compatible con una falla del sistema de inyección de ese cilindro. La condición fue intermitente durante ~4 días (735 minutos de operación afectada) y posteriormente se normalizó, lo que indica una intervención correctiva en ese periodo.</w:t>
      </w:r>
    </w:p>
    <w:p>
      <w:r>
        <w:t>Adicionalmente se documenta un disparo (trip) el 21/01/2026 precedido por la pérdida de combustión del cilindro B7, y un disparo el 19/03/2026 sin precursor mecánico en los canales monitoreados (probable causa externa / red). El resto de parámetros críticos (cojinetes, camisas, aguas, aceite) se mantuvo dentro de rangos normales durante el periodo.</w:t>
      </w:r>
    </w:p>
    <w:p>
      <w:pPr>
        <w:pStyle w:val="Heading1"/>
      </w:pPr>
      <w:r>
        <w:t>2. Hallazgo principal: falla de combustión en cilindro A8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 observado</w:t>
            </w:r>
          </w:p>
        </w:tc>
      </w:tr>
      <w:tr>
        <w:tc>
          <w:tcPr>
            <w:tcW w:type="dxa" w:w="4320"/>
          </w:tcPr>
          <w:p>
            <w:r>
              <w:t>Inicio de la condición</w:t>
            </w:r>
          </w:p>
        </w:tc>
        <w:tc>
          <w:tcPr>
            <w:tcW w:type="dxa" w:w="4320"/>
          </w:tcPr>
          <w:p>
            <w:r>
              <w:t>14/01/2026 22:50</w:t>
            </w:r>
          </w:p>
        </w:tc>
      </w:tr>
      <w:tr>
        <w:tc>
          <w:tcPr>
            <w:tcW w:type="dxa" w:w="4320"/>
          </w:tcPr>
          <w:p>
            <w:r>
              <w:t>Fin de la condición</w:t>
            </w:r>
          </w:p>
        </w:tc>
        <w:tc>
          <w:tcPr>
            <w:tcW w:type="dxa" w:w="4320"/>
          </w:tcPr>
          <w:p>
            <w:r>
              <w:t>18/01/2026 06:42</w:t>
            </w:r>
          </w:p>
        </w:tc>
      </w:tr>
      <w:tr>
        <w:tc>
          <w:tcPr>
            <w:tcW w:type="dxa" w:w="4320"/>
          </w:tcPr>
          <w:p>
            <w:r>
              <w:t>Duración afectada (operando)</w:t>
            </w:r>
          </w:p>
        </w:tc>
        <w:tc>
          <w:tcPr>
            <w:tcW w:type="dxa" w:w="4320"/>
          </w:tcPr>
          <w:p>
            <w:r>
              <w:t>735 minutos (~12 h acumuladas en 4 días)</w:t>
            </w:r>
          </w:p>
        </w:tc>
      </w:tr>
      <w:tr>
        <w:tc>
          <w:tcPr>
            <w:tcW w:type="dxa" w:w="4320"/>
          </w:tcPr>
          <w:p>
            <w:r>
              <w:t>Temp. gases A8 en falla</w:t>
            </w:r>
          </w:p>
        </w:tc>
        <w:tc>
          <w:tcPr>
            <w:tcW w:type="dxa" w:w="4320"/>
          </w:tcPr>
          <w:p>
            <w:r>
              <w:t>≈ 206 °C (a plena carga)</w:t>
            </w:r>
          </w:p>
        </w:tc>
      </w:tr>
      <w:tr>
        <w:tc>
          <w:tcPr>
            <w:tcW w:type="dxa" w:w="4320"/>
          </w:tcPr>
          <w:p>
            <w:r>
              <w:t>Promedio banco A (8 cil. sanos)</w:t>
            </w:r>
          </w:p>
        </w:tc>
        <w:tc>
          <w:tcPr>
            <w:tcW w:type="dxa" w:w="4320"/>
          </w:tcPr>
          <w:p>
            <w:r>
              <w:t>≈ 388 °C</w:t>
            </w:r>
          </w:p>
        </w:tc>
      </w:tr>
      <w:tr>
        <w:tc>
          <w:tcPr>
            <w:tcW w:type="dxa" w:w="4320"/>
          </w:tcPr>
          <w:p>
            <w:r>
              <w:t>Desviación máxima de A8</w:t>
            </w:r>
          </w:p>
        </w:tc>
        <w:tc>
          <w:tcPr>
            <w:tcW w:type="dxa" w:w="4320"/>
          </w:tcPr>
          <w:p>
            <w:r>
              <w:t>−198 °C respecto a su banco</w:t>
            </w:r>
          </w:p>
        </w:tc>
      </w:tr>
      <w:tr>
        <w:tc>
          <w:tcPr>
            <w:tcW w:type="dxa" w:w="4320"/>
          </w:tcPr>
          <w:p>
            <w:r>
              <w:t>Comportamiento normal de A8</w:t>
            </w:r>
          </w:p>
        </w:tc>
        <w:tc>
          <w:tcPr>
            <w:tcW w:type="dxa" w:w="4320"/>
          </w:tcPr>
          <w:p>
            <w:r>
              <w:t>media 425 °C, máx 511 °C (resto del periodo)</w:t>
            </w:r>
          </w:p>
        </w:tc>
      </w:tr>
      <w:tr>
        <w:tc>
          <w:tcPr>
            <w:tcW w:type="dxa" w:w="4320"/>
          </w:tcPr>
          <w:p>
            <w:r>
              <w:t>Carga durante la falla</w:t>
            </w:r>
          </w:p>
        </w:tc>
        <w:tc>
          <w:tcPr>
            <w:tcW w:type="dxa" w:w="4320"/>
          </w:tcPr>
          <w:p>
            <w:r>
              <w:t>≈ 16,100 kW (plena carga — descarta efecto de carga)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alla_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Temperatura de gases del cilindro A8 (rojo) muy por debajo del promedio del banco A (azul) durante la falla; el área gris es la potencia del motor.</w:t>
      </w:r>
    </w:p>
    <w:p>
      <w:pPr>
        <w:pStyle w:val="Heading1"/>
      </w:pPr>
      <w:r>
        <w:t>3. Diagnóstico y causa raíz probable</w:t>
      </w:r>
    </w:p>
    <w:p>
      <w:r>
        <w:t>Una temperatura de gases de escape baja en un solo cilindro, sostenida y a plena carga, indica que ese cilindro no está liberando energía de combustión normal. Las causas probables, en orden de prioridad, son:</w:t>
      </w:r>
    </w:p>
    <w:p>
      <w:pPr>
        <w:pStyle w:val="ListBullet"/>
      </w:pPr>
      <w:r>
        <w:t>Falla del sistema de inyección del cilindro A8 (causa más probable): inyector obstruido/pegado o con mala atomización, o desgaste del elemento de la bomba de inyección / problema en la cremallera o varillaje de control de ese cilindro.</w:t>
      </w:r>
    </w:p>
    <w:p>
      <w:pPr>
        <w:pStyle w:val="ListBullet"/>
      </w:pPr>
      <w:r>
        <w:t>Pérdida de compresión: asiento de válvula de admisión/escape con fuga, o desgaste de anillos/camisa (revisar también temperatura de camisa y presión de compresión).</w:t>
      </w:r>
    </w:p>
    <w:p>
      <w:pPr>
        <w:pStyle w:val="ListBullet"/>
      </w:pPr>
      <w:r>
        <w:t>Causa secundaria de instrumentación: descartada como causa raíz, ya que el sensor responde normalmente antes y después (media 425 °C), por lo que la lectura baja es real.</w:t>
      </w:r>
    </w:p>
    <w:p>
      <w:pPr>
        <w:pStyle w:val="Heading1"/>
      </w:pPr>
      <w:r>
        <w:t>4. Acciones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Inspeccionar y probar el inyector del cilindro A8 (presión de apertura, estanqueidad y patrón de atomización); reemplazar si está fuera de norma.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Verificar la bomba de inyección de A8 y el varillaje/cremallera de control.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Medir presiones de compresión y de combustión (firing pressure) de A8 y comparar con los demás cilindros.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Aplicar el mismo chequeo de inyección al cilindro B7 (misfire previo al trip del 21/01).</w:t>
            </w:r>
          </w:p>
        </w:tc>
      </w:tr>
      <w:tr>
        <w:tc>
          <w:tcPr>
            <w:tcW w:type="dxa" w:w="4320"/>
          </w:tcPr>
          <w:p>
            <w:r>
              <w:t>Seguimiento</w:t>
            </w:r>
          </w:p>
        </w:tc>
        <w:tc>
          <w:tcPr>
            <w:tcW w:type="dxa" w:w="4320"/>
          </w:tcPr>
          <w:p>
            <w:r>
              <w:t>Investigar el disparo del 19/03 con los registros de protección eléctrica / SCADA del generador (no atribuible al motor según estos datos).</w:t>
            </w:r>
          </w:p>
        </w:tc>
      </w:tr>
      <w:tr>
        <w:tc>
          <w:tcPr>
            <w:tcW w:type="dxa" w:w="4320"/>
          </w:tcPr>
          <w:p>
            <w:r>
              <w:t>Monitoreo</w:t>
            </w:r>
          </w:p>
        </w:tc>
        <w:tc>
          <w:tcPr>
            <w:tcW w:type="dxa" w:w="4320"/>
          </w:tcPr>
          <w:p>
            <w:r>
              <w:t>Vigilar la temperatura de agua HT (pico de 105.9 °C el 02/01, cercano al umbral de alarma típico ~110 °C).</w:t>
            </w:r>
          </w:p>
        </w:tc>
      </w:tr>
    </w:tbl>
    <w:p>
      <w:pPr>
        <w:pStyle w:val="Heading1"/>
      </w:pPr>
      <w:r>
        <w:t>5. Estado general de parámetros (periodo)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Máximo observado</w:t>
            </w:r>
          </w:p>
        </w:tc>
        <w:tc>
          <w:tcPr>
            <w:tcW w:type="dxa" w:w="2880"/>
          </w:tcPr>
          <w:p>
            <w:r>
              <w:t>Evaluación</w:t>
            </w:r>
          </w:p>
        </w:tc>
      </w:tr>
      <w:tr>
        <w:tc>
          <w:tcPr>
            <w:tcW w:type="dxa" w:w="2880"/>
          </w:tcPr>
          <w:p>
            <w:r>
              <w:t>Cojinetes principales</w:t>
            </w:r>
          </w:p>
        </w:tc>
        <w:tc>
          <w:tcPr>
            <w:tcW w:type="dxa" w:w="2880"/>
          </w:tcPr>
          <w:p>
            <w:r>
              <w:t>90–96 °C</w:t>
            </w:r>
          </w:p>
        </w:tc>
        <w:tc>
          <w:tcPr>
            <w:tcW w:type="dxa" w:w="2880"/>
          </w:tcPr>
          <w:p>
            <w:r>
              <w:t>Normal (bajo alarma)</w:t>
            </w:r>
          </w:p>
        </w:tc>
      </w:tr>
      <w:tr>
        <w:tc>
          <w:tcPr>
            <w:tcW w:type="dxa" w:w="2880"/>
          </w:tcPr>
          <w:p>
            <w:r>
              <w:t>Cojinetes generador / empuje</w:t>
            </w:r>
          </w:p>
        </w:tc>
        <w:tc>
          <w:tcPr>
            <w:tcW w:type="dxa" w:w="2880"/>
          </w:tcPr>
          <w:p>
            <w:r>
              <w:t>84–98 °C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Temp. camisas (liner)</w:t>
            </w:r>
          </w:p>
        </w:tc>
        <w:tc>
          <w:tcPr>
            <w:tcW w:type="dxa" w:w="2880"/>
          </w:tcPr>
          <w:p>
            <w:r>
              <w:t>130–140 °C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Agua HT (entrada/salida)</w:t>
            </w:r>
          </w:p>
        </w:tc>
        <w:tc>
          <w:tcPr>
            <w:tcW w:type="dxa" w:w="2880"/>
          </w:tcPr>
          <w:p>
            <w:r>
              <w:t>≈ 105 °C</w:t>
            </w:r>
          </w:p>
        </w:tc>
        <w:tc>
          <w:tcPr>
            <w:tcW w:type="dxa" w:w="2880"/>
          </w:tcPr>
          <w:p>
            <w:r>
              <w:t>Vigilar — cercano a alarma</w:t>
            </w:r>
          </w:p>
        </w:tc>
      </w:tr>
      <w:tr>
        <w:tc>
          <w:tcPr>
            <w:tcW w:type="dxa" w:w="2880"/>
          </w:tcPr>
          <w:p>
            <w:r>
              <w:t>Agua LT</w:t>
            </w:r>
          </w:p>
        </w:tc>
        <w:tc>
          <w:tcPr>
            <w:tcW w:type="dxa" w:w="2880"/>
          </w:tcPr>
          <w:p>
            <w:r>
              <w:t>≤ 63 °C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Presión aceite lubricante</w:t>
            </w:r>
          </w:p>
        </w:tc>
        <w:tc>
          <w:tcPr>
            <w:tcW w:type="dxa" w:w="2880"/>
          </w:tcPr>
          <w:p>
            <w:r>
              <w:t>≈ 5 bar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</w:tbl>
    <w:p>
      <w:pPr>
        <w:pStyle w:val="Heading1"/>
      </w:pPr>
      <w:r>
        <w:t>6. Disponibilidad en el periodo</w:t>
      </w:r>
    </w:p>
    <w:p>
      <w:r>
        <w:t>Durante los 3 meses analizados la unidad operó 1,133 horas de 2,160 totales (52 %), con 102 arranques y 102 paradas, y carga media de ≈15.9 MW cuando estuvo en línea (potencia máxima registrada 17.8 MW).</w:t>
      </w:r>
    </w:p>
    <w:p>
      <w:pPr>
        <w:pStyle w:val="Heading1"/>
      </w:pPr>
      <w:r>
        <w:t>7. Notas de calidad de datos</w:t>
      </w:r>
    </w:p>
    <w:p>
      <w:pPr>
        <w:pStyle w:val="ListBullet"/>
      </w:pPr>
      <w:r>
        <w:t>El evento del 26/02 04:19 (temperaturas muy dispares entre cilindros) corresponde a un ARRANQUE del motor, no a una falla: las temperaturas se estabilizan a los pocos minutos de tomar carga.</w:t>
      </w:r>
    </w:p>
    <w:p>
      <w:pPr>
        <w:pStyle w:val="ListBullet"/>
      </w:pPr>
      <w:r>
        <w:t>Análisis basado en promedio de las válvulas C y D por cilindro para la temperatura de gases de escape.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