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val="clear" w:color="auto" w:fill="1A252F"/>
            <w:tcBorders>
              <w:top w:val="nil"/>
              <w:left w:val="nil"/>
              <w:bottom w:val="nil"/>
              <w:right w:val="nil"/>
            </w:tcBorders>
            <w:tcMar>
              <w:top w:w="320" w:type="dxa"/>
              <w:start w:w="200" w:type="dxa"/>
              <w:bottom w:w="320" w:type="dxa"/>
              <w:end w:w="200" w:type="dxa"/>
            </w:tcMar>
          </w:tcPr>
          <w:p>
            <w:r/>
          </w:p>
          <w:p>
            <w:pPr>
              <w:spacing w:after="40"/>
              <w:jc w:val="center"/>
            </w:pPr>
            <w:r>
              <w:rPr>
                <w:rFonts w:ascii="Arial" w:hAnsi="Arial" w:cs="Arial"/>
                <w:b/>
                <w:i w:val="0"/>
                <w:caps/>
                <w:color w:val="AED6F1"/>
                <w:sz w:val="22"/>
              </w:rPr>
              <w:t>African Leadership College of Higher Education</w:t>
            </w:r>
          </w:p>
          <w:p>
            <w:pPr>
              <w:spacing w:after="20"/>
              <w:jc w:val="center"/>
            </w:pPr>
            <w:r>
              <w:rPr>
                <w:rFonts w:ascii="Arial" w:hAnsi="Arial" w:cs="Arial"/>
                <w:b w:val="0"/>
                <w:i w:val="0"/>
                <w:caps/>
                <w:color w:val="AAB7C4"/>
                <w:sz w:val="17"/>
              </w:rPr>
              <w:t>Student Success</w:t>
            </w:r>
          </w:p>
          <w:p>
            <w:pPr>
              <w:spacing w:after="200"/>
              <w:jc w:val="center"/>
            </w:pPr>
            <w:r>
              <w:rPr>
                <w:rFonts w:ascii="Arial" w:hAnsi="Arial" w:cs="Arial"/>
                <w:b w:val="0"/>
                <w:i w:val="0"/>
                <w:caps/>
                <w:color w:val="8899A8"/>
                <w:sz w:val="15"/>
              </w:rPr>
              <w:t>Student Success Compass, version 2.0</w:t>
            </w:r>
          </w:p>
          <w:p>
            <w:pPr>
              <w:spacing w:after="80"/>
              <w:jc w:val="center"/>
            </w:pPr>
            <w:r>
              <w:rPr>
                <w:rFonts w:ascii="Arial" w:hAnsi="Arial" w:cs="Arial"/>
                <w:b/>
                <w:i w:val="0"/>
                <w:caps/>
                <w:color w:val="FFFFFF"/>
                <w:sz w:val="48"/>
              </w:rPr>
              <w:t>Design Rationale</w:t>
            </w:r>
          </w:p>
          <w:p>
            <w:pPr>
              <w:spacing w:after="60"/>
              <w:jc w:val="center"/>
            </w:pPr>
            <w:r>
              <w:rPr>
                <w:rFonts w:ascii="Arial" w:hAnsi="Arial" w:cs="Arial"/>
                <w:b/>
                <w:i w:val="0"/>
                <w:caps w:val="0"/>
                <w:color w:val="FFFFFF"/>
                <w:sz w:val="23"/>
              </w:rPr>
              <w:t>What the Compass is for, what the research says, and what changed</w:t>
            </w:r>
          </w:p>
          <w:p>
            <w:pPr>
              <w:spacing w:after="0"/>
              <w:jc w:val="center"/>
            </w:pPr>
            <w:r>
              <w:rPr>
                <w:rFonts w:ascii="Arial" w:hAnsi="Arial" w:cs="Arial"/>
                <w:b w:val="0"/>
                <w:i w:val="0"/>
                <w:caps w:val="0"/>
                <w:color w:val="8899A8"/>
                <w:sz w:val="17"/>
              </w:rPr>
              <w:t>Version 1.0  |  16 October 2026  |  Prepared for the Student Success team</w:t>
            </w:r>
          </w:p>
        </w:tc>
      </w:tr>
    </w:tbl>
    <w:p>
      <w:pPr>
        <w:spacing w:after="80"/>
      </w:pP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FBFCFD"/>
            <w:tcMar>
              <w:top w:w="100" w:type="dxa"/>
              <w:start w:w="120" w:type="dxa"/>
              <w:bottom w:w="100" w:type="dxa"/>
              <w:end w:w="120" w:type="dxa"/>
            </w:tcMar>
            <w:tcBorders>
              <w:top w:val="single" w:sz="6" w:space="0" w:color="D5DBE1"/>
              <w:left w:val="single" w:sz="6" w:space="0" w:color="D5DBE1"/>
              <w:bottom w:val="single" w:sz="6" w:space="0" w:color="D5DBE1"/>
              <w:right w:val="single" w:sz="6" w:space="0" w:color="D5DBE1"/>
            </w:tcBorders>
          </w:tcPr>
          <w:p>
            <w:pPr>
              <w:spacing w:after="20"/>
              <w:jc w:val="center"/>
            </w:pPr>
            <w:r>
              <w:rPr>
                <w:rFonts w:ascii="Arial" w:hAnsi="Arial" w:cs="Arial"/>
                <w:b/>
                <w:i w:val="0"/>
                <w:caps w:val="0"/>
                <w:color w:val="922B21"/>
                <w:sz w:val="25"/>
              </w:rPr>
              <w:t>58 + 12 timed</w:t>
            </w:r>
          </w:p>
          <w:p>
            <w:pPr>
              <w:spacing w:after="0"/>
              <w:jc w:val="center"/>
            </w:pPr>
            <w:r>
              <w:rPr>
                <w:rFonts w:ascii="Arial" w:hAnsi="Arial" w:cs="Arial"/>
                <w:b w:val="0"/>
                <w:i w:val="0"/>
                <w:caps w:val="0"/>
                <w:color w:val="6B7280"/>
                <w:sz w:val="17"/>
              </w:rPr>
              <w:t>items in version 1</w:t>
            </w:r>
          </w:p>
        </w:tc>
        <w:tc>
          <w:tcPr>
            <w:tcW w:type="dxa" w:w="2340"/>
            <w:shd w:val="clear" w:color="auto" w:fill="FBFCFD"/>
            <w:tcMar>
              <w:top w:w="100" w:type="dxa"/>
              <w:start w:w="120" w:type="dxa"/>
              <w:bottom w:w="100" w:type="dxa"/>
              <w:end w:w="120" w:type="dxa"/>
            </w:tcMar>
            <w:tcBorders>
              <w:top w:val="single" w:sz="6" w:space="0" w:color="D5DBE1"/>
              <w:left w:val="single" w:sz="6" w:space="0" w:color="D5DBE1"/>
              <w:bottom w:val="single" w:sz="6" w:space="0" w:color="D5DBE1"/>
              <w:right w:val="single" w:sz="6" w:space="0" w:color="D5DBE1"/>
            </w:tcBorders>
          </w:tcPr>
          <w:p>
            <w:pPr>
              <w:spacing w:after="20"/>
              <w:jc w:val="center"/>
            </w:pPr>
            <w:r>
              <w:rPr>
                <w:rFonts w:ascii="Arial" w:hAnsi="Arial" w:cs="Arial"/>
                <w:b/>
                <w:i w:val="0"/>
                <w:caps w:val="0"/>
                <w:color w:val="1E8449"/>
                <w:sz w:val="25"/>
              </w:rPr>
              <w:t>about 45</w:t>
            </w:r>
          </w:p>
          <w:p>
            <w:pPr>
              <w:spacing w:after="0"/>
              <w:jc w:val="center"/>
            </w:pPr>
            <w:r>
              <w:rPr>
                <w:rFonts w:ascii="Arial" w:hAnsi="Arial" w:cs="Arial"/>
                <w:b w:val="0"/>
                <w:i w:val="0"/>
                <w:caps w:val="0"/>
                <w:color w:val="6B7280"/>
                <w:sz w:val="17"/>
              </w:rPr>
              <w:t>items in version 2, untimed</w:t>
            </w:r>
          </w:p>
        </w:tc>
        <w:tc>
          <w:tcPr>
            <w:tcW w:type="dxa" w:w="2340"/>
            <w:shd w:val="clear" w:color="auto" w:fill="FBFCFD"/>
            <w:tcMar>
              <w:top w:w="100" w:type="dxa"/>
              <w:start w:w="120" w:type="dxa"/>
              <w:bottom w:w="100" w:type="dxa"/>
              <w:end w:w="120" w:type="dxa"/>
            </w:tcMar>
            <w:tcBorders>
              <w:top w:val="single" w:sz="6" w:space="0" w:color="D5DBE1"/>
              <w:left w:val="single" w:sz="6" w:space="0" w:color="D5DBE1"/>
              <w:bottom w:val="single" w:sz="6" w:space="0" w:color="D5DBE1"/>
              <w:right w:val="single" w:sz="6" w:space="0" w:color="D5DBE1"/>
            </w:tcBorders>
          </w:tcPr>
          <w:p>
            <w:pPr>
              <w:spacing w:after="20"/>
              <w:jc w:val="center"/>
            </w:pPr>
            <w:r>
              <w:rPr>
                <w:rFonts w:ascii="Arial" w:hAnsi="Arial" w:cs="Arial"/>
                <w:b/>
                <w:i w:val="0"/>
                <w:caps w:val="0"/>
                <w:color w:val="1F618D"/>
                <w:sz w:val="25"/>
              </w:rPr>
              <w:t>10 min</w:t>
            </w:r>
          </w:p>
          <w:p>
            <w:pPr>
              <w:spacing w:after="0"/>
              <w:jc w:val="center"/>
            </w:pPr>
            <w:r>
              <w:rPr>
                <w:rFonts w:ascii="Arial" w:hAnsi="Arial" w:cs="Arial"/>
                <w:b w:val="0"/>
                <w:i w:val="0"/>
                <w:caps w:val="0"/>
                <w:color w:val="6B7280"/>
                <w:sz w:val="17"/>
              </w:rPr>
              <w:t>to complete</w:t>
            </w:r>
          </w:p>
        </w:tc>
        <w:tc>
          <w:tcPr>
            <w:tcW w:type="dxa" w:w="2340"/>
            <w:shd w:val="clear" w:color="auto" w:fill="FBFCFD"/>
            <w:tcMar>
              <w:top w:w="100" w:type="dxa"/>
              <w:start w:w="120" w:type="dxa"/>
              <w:bottom w:w="100" w:type="dxa"/>
              <w:end w:w="120" w:type="dxa"/>
            </w:tcMar>
            <w:tcBorders>
              <w:top w:val="single" w:sz="6" w:space="0" w:color="D5DBE1"/>
              <w:left w:val="single" w:sz="6" w:space="0" w:color="D5DBE1"/>
              <w:bottom w:val="single" w:sz="6" w:space="0" w:color="D5DBE1"/>
              <w:right w:val="single" w:sz="6" w:space="0" w:color="D5DBE1"/>
            </w:tcBorders>
          </w:tcPr>
          <w:p>
            <w:pPr>
              <w:spacing w:after="20"/>
              <w:jc w:val="center"/>
            </w:pPr>
            <w:r>
              <w:rPr>
                <w:rFonts w:ascii="Arial" w:hAnsi="Arial" w:cs="Arial"/>
                <w:b/>
                <w:i w:val="0"/>
                <w:caps w:val="0"/>
                <w:color w:val="1A252F"/>
                <w:sz w:val="25"/>
              </w:rPr>
              <w:t>3 tiers</w:t>
            </w:r>
          </w:p>
          <w:p>
            <w:pPr>
              <w:spacing w:after="0"/>
              <w:jc w:val="center"/>
            </w:pPr>
            <w:r>
              <w:rPr>
                <w:rFonts w:ascii="Arial" w:hAnsi="Arial" w:cs="Arial"/>
                <w:b w:val="0"/>
                <w:i w:val="0"/>
                <w:caps w:val="0"/>
                <w:color w:val="6B7280"/>
                <w:sz w:val="17"/>
              </w:rPr>
              <w:t>who to contact first</w:t>
            </w:r>
          </w:p>
        </w:tc>
      </w:tr>
    </w:tbl>
    <w:p>
      <w:pPr>
        <w:spacing w:after="40"/>
      </w:pPr>
    </w:p>
    <w:p>
      <w:pPr>
        <w:spacing w:before="240" w:after="80"/>
      </w:pPr>
      <w:r>
        <w:rPr>
          <w:rFonts w:ascii="Arial" w:hAnsi="Arial" w:cs="Arial"/>
          <w:b/>
          <w:i w:val="0"/>
          <w:caps w:val="0"/>
          <w:color w:val="1F618D"/>
          <w:sz w:val="25"/>
        </w:rPr>
        <w:t>Read this first</w:t>
      </w:r>
    </w:p>
    <w:tbl>
      <w:tblPr>
        <w:tblW w:type="auto" w:w="0"/>
        <w:jc w:val="center"/>
        <w:tblLook w:firstColumn="1" w:firstRow="1" w:lastColumn="0" w:lastRow="0" w:noHBand="0" w:noVBand="1" w:val="04A0"/>
      </w:tblPr>
      <w:tblGrid>
        <w:gridCol w:w="2304"/>
        <w:gridCol w:w="7056"/>
      </w:tblGrid>
      <w:tr>
        <w:tc>
          <w:tcPr>
            <w:tcW w:type="dxa" w:w="2304"/>
            <w:shd w:val="clear" w:color="auto" w:fill="1A252F"/>
            <w:tcMar>
              <w:top w:w="80" w:type="dxa"/>
              <w:start w:w="120" w:type="dxa"/>
              <w:bottom w:w="80" w:type="dxa"/>
              <w:end w:w="120" w:type="dxa"/>
            </w:tcMar>
            <w:tcBorders>
              <w:top w:val="single" w:sz="6" w:space="0" w:color="1A252F"/>
              <w:left w:val="single" w:sz="6" w:space="0" w:color="1A252F"/>
              <w:bottom w:val="single" w:sz="6" w:space="0" w:color="1A252F"/>
              <w:right w:val="single" w:sz="6" w:space="0" w:color="1A252F"/>
            </w:tcBorders>
          </w:tcPr>
          <w:p>
            <w:pPr>
              <w:spacing w:after="0"/>
            </w:pPr>
            <w:r>
              <w:rPr>
                <w:rFonts w:ascii="Arial" w:hAnsi="Arial" w:cs="Arial"/>
                <w:b/>
                <w:i w:val="0"/>
                <w:caps w:val="0"/>
                <w:color w:val="FFFFFF"/>
                <w:sz w:val="19"/>
              </w:rPr>
              <w:t>Question</w:t>
            </w:r>
          </w:p>
        </w:tc>
        <w:tc>
          <w:tcPr>
            <w:tcW w:type="dxa" w:w="7056"/>
            <w:shd w:val="clear" w:color="auto" w:fill="1A252F"/>
            <w:tcMar>
              <w:top w:w="80" w:type="dxa"/>
              <w:start w:w="120" w:type="dxa"/>
              <w:bottom w:w="80" w:type="dxa"/>
              <w:end w:w="120" w:type="dxa"/>
            </w:tcMar>
            <w:tcBorders>
              <w:top w:val="single" w:sz="6" w:space="0" w:color="1A252F"/>
              <w:left w:val="single" w:sz="6" w:space="0" w:color="1A252F"/>
              <w:bottom w:val="single" w:sz="6" w:space="0" w:color="1A252F"/>
              <w:right w:val="single" w:sz="6" w:space="0" w:color="1A252F"/>
            </w:tcBorders>
          </w:tcPr>
          <w:p>
            <w:pPr>
              <w:spacing w:after="0"/>
            </w:pPr>
            <w:r>
              <w:rPr>
                <w:rFonts w:ascii="Arial" w:hAnsi="Arial" w:cs="Arial"/>
                <w:b/>
                <w:i w:val="0"/>
                <w:caps w:val="0"/>
                <w:color w:val="FFFFFF"/>
                <w:sz w:val="19"/>
              </w:rPr>
              <w:t>Answer</w:t>
            </w:r>
          </w:p>
        </w:tc>
      </w:tr>
      <w:tr>
        <w:tc>
          <w:tcPr>
            <w:tcW w:type="dxa" w:w="2304"/>
            <w:shd w:val="clear" w:color="auto" w:fill="EBF5FB"/>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i w:val="0"/>
                <w:caps w:val="0"/>
                <w:color w:val="1A252F"/>
                <w:sz w:val="19"/>
              </w:rPr>
              <w:t>What it is</w:t>
            </w:r>
          </w:p>
        </w:tc>
        <w:tc>
          <w:tcPr>
            <w:tcW w:type="dxa" w:w="7056"/>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A ten-minute start-of-term check-in. Students get a letter of next steps; Student Success gets a ranked, reasoned list of who to contact.</w:t>
            </w:r>
          </w:p>
        </w:tc>
      </w:tr>
      <w:tr>
        <w:tc>
          <w:tcPr>
            <w:tcW w:type="dxa" w:w="2304"/>
            <w:shd w:val="clear" w:color="auto" w:fill="EBF5FB"/>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i w:val="0"/>
                <w:caps w:val="0"/>
                <w:color w:val="1A252F"/>
                <w:sz w:val="19"/>
              </w:rPr>
              <w:t>Who takes it</w:t>
            </w:r>
          </w:p>
        </w:tc>
        <w:tc>
          <w:tcPr>
            <w:tcW w:type="dxa" w:w="7056"/>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All four current intakes: F25, O25, F26 and O26. O26 students see questions about starting university; the others see questions about how last term went.</w:t>
            </w:r>
          </w:p>
        </w:tc>
      </w:tr>
      <w:tr>
        <w:tc>
          <w:tcPr>
            <w:tcW w:type="dxa" w:w="2304"/>
            <w:shd w:val="clear" w:color="auto" w:fill="EBF5FB"/>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i w:val="0"/>
                <w:caps w:val="0"/>
                <w:color w:val="1A252F"/>
                <w:sz w:val="19"/>
              </w:rPr>
              <w:t>Status</w:t>
            </w:r>
          </w:p>
        </w:tc>
        <w:tc>
          <w:tcPr>
            <w:tcW w:type="dxa" w:w="7056"/>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Built, tested and running on a preview branch. Not yet live. Same Vercel project, sheet and environment variables as version 1.</w:t>
            </w:r>
          </w:p>
        </w:tc>
      </w:tr>
      <w:tr>
        <w:tc>
          <w:tcPr>
            <w:tcW w:type="dxa" w:w="2304"/>
            <w:shd w:val="clear" w:color="auto" w:fill="EBF5FB"/>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i w:val="0"/>
                <w:caps w:val="0"/>
                <w:color w:val="1A252F"/>
                <w:sz w:val="19"/>
              </w:rPr>
              <w:t>What was cut</w:t>
            </w:r>
          </w:p>
        </w:tc>
        <w:tc>
          <w:tcPr>
            <w:tcW w:type="dxa" w:w="7056"/>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The ADHD-style attention screen, the dyslexia-style reading screen, the timed reasoning test, the grit score and the traffic-light results.</w:t>
            </w:r>
          </w:p>
        </w:tc>
      </w:tr>
      <w:tr>
        <w:tc>
          <w:tcPr>
            <w:tcW w:type="dxa" w:w="2304"/>
            <w:shd w:val="clear" w:color="auto" w:fill="EBF5FB"/>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i w:val="0"/>
                <w:caps w:val="0"/>
                <w:color w:val="1A252F"/>
                <w:sz w:val="19"/>
              </w:rPr>
              <w:t>What you need to decide</w:t>
            </w:r>
          </w:p>
        </w:tc>
        <w:tc>
          <w:tcPr>
            <w:tcW w:type="dxa" w:w="7056"/>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Ten items, listed in Part 9. Four of them must be settled before go-live.</w:t>
            </w:r>
          </w:p>
        </w:tc>
      </w:tr>
    </w:tbl>
    <w:p>
      <w:pPr>
        <w:spacing w:after="40"/>
      </w:pPr>
    </w:p>
    <w:p>
      <w:pPr>
        <w:pageBreakBefore/>
        <w:spacing w:before="0" w:after="120"/>
        <w:pBdr>
          <w:bottom w:val="single" w:sz="8" w:space="6" w:color="1A252F"/>
        </w:pBdr>
      </w:pPr>
      <w:r>
        <w:rPr>
          <w:rFonts w:ascii="Arial" w:hAnsi="Arial" w:cs="Arial"/>
          <w:b/>
          <w:i w:val="0"/>
          <w:caps/>
          <w:color w:val="000000"/>
          <w:sz w:val="32"/>
        </w:rPr>
        <w:t>1. What the Compass is for</w:t>
      </w:r>
    </w:p>
    <w:p>
      <w:pPr>
        <w:spacing w:before="40" w:after="140"/>
        <w:ind w:left="144"/>
        <w:pBdr>
          <w:left w:val="single" w:sz="18" w:space="7" w:color="1F618D"/>
        </w:pBdr>
      </w:pPr>
      <w:r>
        <w:rPr>
          <w:rFonts w:ascii="Arial" w:hAnsi="Arial" w:cs="Arial"/>
          <w:b/>
          <w:i w:val="0"/>
          <w:caps w:val="0"/>
          <w:color w:val="1A252F"/>
          <w:sz w:val="21"/>
        </w:rPr>
        <w:t>The Compass does two jobs at once, and a third for the data system.</w:t>
      </w:r>
    </w:p>
    <w:p>
      <w:pPr>
        <w:spacing w:after="140"/>
      </w:pPr>
      <w:r>
        <w:rPr>
          <w:rFonts w:ascii="Arial" w:hAnsi="Arial" w:cs="Arial"/>
          <w:b w:val="0"/>
          <w:i w:val="0"/>
          <w:caps w:val="0"/>
          <w:color w:val="1A252F"/>
          <w:sz w:val="21"/>
        </w:rPr>
        <w:t>Reading the version 1 site, its repository, the orientation deck that points students to it, and the Compass Weekly pipeline that consumes its scores, the purpose comes out as three jobs:</w:t>
      </w:r>
    </w:p>
    <w:tbl>
      <w:tblPr>
        <w:tblW w:type="auto" w:w="0"/>
        <w:jc w:val="center"/>
        <w:tblLook w:firstColumn="1" w:firstRow="1" w:lastColumn="0" w:lastRow="0" w:noHBand="0" w:noVBand="1" w:val="04A0"/>
      </w:tblPr>
      <w:tblGrid>
        <w:gridCol w:w="605"/>
        <w:gridCol w:w="8755"/>
      </w:tblGrid>
      <w:tr>
        <w:tc>
          <w:tcPr>
            <w:tcW w:type="dxa" w:w="605"/>
            <w:shd w:val="clear" w:color="auto" w:fill="1F618D"/>
            <w:tcBorders>
              <w:top w:val="nil"/>
              <w:left w:val="nil"/>
              <w:bottom w:val="nil"/>
              <w:right w:val="nil"/>
            </w:tcBorders>
            <w:tcMar>
              <w:top w:w="110" w:type="dxa"/>
              <w:start w:w="60" w:type="dxa"/>
              <w:bottom w:w="110" w:type="dxa"/>
              <w:end w:w="60" w:type="dxa"/>
            </w:tcMar>
          </w:tcPr>
          <w:p>
            <w:pPr>
              <w:spacing w:after="0"/>
              <w:jc w:val="center"/>
            </w:pPr>
            <w:r>
              <w:rPr>
                <w:rFonts w:ascii="Arial" w:hAnsi="Arial" w:cs="Arial"/>
                <w:b/>
                <w:i w:val="0"/>
                <w:caps w:val="0"/>
                <w:color w:val="FFFFFF"/>
                <w:sz w:val="34"/>
              </w:rPr>
              <w:t>1</w:t>
            </w:r>
          </w:p>
        </w:tc>
        <w:tc>
          <w:tcPr>
            <w:tcW w:type="dxa" w:w="8755"/>
            <w:shd w:val="clear" w:color="auto" w:fill="EBF5FB"/>
            <w:tcMar>
              <w:top w:w="110" w:type="dxa"/>
              <w:start w:w="150" w:type="dxa"/>
              <w:bottom w:w="110" w:type="dxa"/>
              <w:end w:w="150" w:type="dxa"/>
            </w:tcMar>
            <w:tcBorders>
              <w:top w:val="single" w:sz="4" w:space="0" w:color="E4E7EA"/>
              <w:left w:val="nil"/>
              <w:bottom w:val="single" w:sz="4" w:space="0" w:color="E4E7EA"/>
              <w:right w:val="single" w:sz="4" w:space="0" w:color="E4E7EA"/>
            </w:tcBorders>
          </w:tcPr>
          <w:p>
            <w:pPr>
              <w:spacing w:after="60"/>
            </w:pPr>
            <w:r>
              <w:rPr>
                <w:rFonts w:ascii="Arial" w:hAnsi="Arial" w:cs="Arial"/>
                <w:b/>
                <w:i w:val="0"/>
                <w:caps/>
                <w:color w:val="1F618D"/>
                <w:sz w:val="18"/>
              </w:rPr>
              <w:t>For the student</w:t>
            </w:r>
          </w:p>
          <w:p>
            <w:pPr>
              <w:spacing w:after="0"/>
            </w:pPr>
            <w:r>
              <w:rPr>
                <w:rFonts w:ascii="Arial" w:hAnsi="Arial" w:cs="Arial"/>
                <w:b w:val="0"/>
                <w:i w:val="0"/>
                <w:caps w:val="0"/>
                <w:color w:val="1A252F"/>
                <w:sz w:val="20"/>
              </w:rPr>
              <w:t>A short, honest look at how they are starting the term, and a small number of concrete things to do next, tied to support that actually exists at ALCHE. It should also make asking for help feel normal.</w:t>
            </w:r>
          </w:p>
        </w:tc>
      </w:tr>
    </w:tbl>
    <w:p>
      <w:pPr>
        <w:spacing w:after="40"/>
      </w:pPr>
    </w:p>
    <w:tbl>
      <w:tblPr>
        <w:tblW w:type="auto" w:w="0"/>
        <w:jc w:val="center"/>
        <w:tblLook w:firstColumn="1" w:firstRow="1" w:lastColumn="0" w:lastRow="0" w:noHBand="0" w:noVBand="1" w:val="04A0"/>
      </w:tblPr>
      <w:tblGrid>
        <w:gridCol w:w="605"/>
        <w:gridCol w:w="8755"/>
      </w:tblGrid>
      <w:tr>
        <w:tc>
          <w:tcPr>
            <w:tcW w:type="dxa" w:w="605"/>
            <w:shd w:val="clear" w:color="auto" w:fill="1E8449"/>
            <w:tcBorders>
              <w:top w:val="nil"/>
              <w:left w:val="nil"/>
              <w:bottom w:val="nil"/>
              <w:right w:val="nil"/>
            </w:tcBorders>
            <w:tcMar>
              <w:top w:w="110" w:type="dxa"/>
              <w:start w:w="60" w:type="dxa"/>
              <w:bottom w:w="110" w:type="dxa"/>
              <w:end w:w="60" w:type="dxa"/>
            </w:tcMar>
          </w:tcPr>
          <w:p>
            <w:pPr>
              <w:spacing w:after="0"/>
              <w:jc w:val="center"/>
            </w:pPr>
            <w:r>
              <w:rPr>
                <w:rFonts w:ascii="Arial" w:hAnsi="Arial" w:cs="Arial"/>
                <w:b/>
                <w:i w:val="0"/>
                <w:caps w:val="0"/>
                <w:color w:val="FFFFFF"/>
                <w:sz w:val="34"/>
              </w:rPr>
              <w:t>2</w:t>
            </w:r>
          </w:p>
        </w:tc>
        <w:tc>
          <w:tcPr>
            <w:tcW w:type="dxa" w:w="8755"/>
            <w:shd w:val="clear" w:color="auto" w:fill="E9F7EF"/>
            <w:tcMar>
              <w:top w:w="110" w:type="dxa"/>
              <w:start w:w="150" w:type="dxa"/>
              <w:bottom w:w="110" w:type="dxa"/>
              <w:end w:w="150" w:type="dxa"/>
            </w:tcMar>
            <w:tcBorders>
              <w:top w:val="single" w:sz="4" w:space="0" w:color="E4E7EA"/>
              <w:left w:val="nil"/>
              <w:bottom w:val="single" w:sz="4" w:space="0" w:color="E4E7EA"/>
              <w:right w:val="single" w:sz="4" w:space="0" w:color="E4E7EA"/>
            </w:tcBorders>
          </w:tcPr>
          <w:p>
            <w:pPr>
              <w:spacing w:after="60"/>
            </w:pPr>
            <w:r>
              <w:rPr>
                <w:rFonts w:ascii="Arial" w:hAnsi="Arial" w:cs="Arial"/>
                <w:b/>
                <w:i w:val="0"/>
                <w:caps/>
                <w:color w:val="1E8449"/>
                <w:sz w:val="18"/>
              </w:rPr>
              <w:t>For Student Success</w:t>
            </w:r>
          </w:p>
          <w:p>
            <w:pPr>
              <w:spacing w:after="0"/>
            </w:pPr>
            <w:r>
              <w:rPr>
                <w:rFonts w:ascii="Arial" w:hAnsi="Arial" w:cs="Arial"/>
                <w:b w:val="0"/>
                <w:i w:val="0"/>
                <w:caps w:val="0"/>
                <w:color w:val="1A252F"/>
                <w:sz w:val="20"/>
              </w:rPr>
              <w:t>An early, consented picture of who would benefit from contact and about what, so a team of two staff and two interns spends its first weeks on the right students. Students who will not ask for help must be found, because they will not come.</w:t>
            </w:r>
          </w:p>
        </w:tc>
      </w:tr>
    </w:tbl>
    <w:p>
      <w:pPr>
        <w:spacing w:after="40"/>
      </w:pPr>
    </w:p>
    <w:tbl>
      <w:tblPr>
        <w:tblW w:type="auto" w:w="0"/>
        <w:jc w:val="center"/>
        <w:tblLook w:firstColumn="1" w:firstRow="1" w:lastColumn="0" w:lastRow="0" w:noHBand="0" w:noVBand="1" w:val="04A0"/>
      </w:tblPr>
      <w:tblGrid>
        <w:gridCol w:w="605"/>
        <w:gridCol w:w="8755"/>
      </w:tblGrid>
      <w:tr>
        <w:tc>
          <w:tcPr>
            <w:tcW w:type="dxa" w:w="605"/>
            <w:shd w:val="clear" w:color="auto" w:fill="7D6608"/>
            <w:tcBorders>
              <w:top w:val="nil"/>
              <w:left w:val="nil"/>
              <w:bottom w:val="nil"/>
              <w:right w:val="nil"/>
            </w:tcBorders>
            <w:tcMar>
              <w:top w:w="110" w:type="dxa"/>
              <w:start w:w="60" w:type="dxa"/>
              <w:bottom w:w="110" w:type="dxa"/>
              <w:end w:w="60" w:type="dxa"/>
            </w:tcMar>
          </w:tcPr>
          <w:p>
            <w:pPr>
              <w:spacing w:after="0"/>
              <w:jc w:val="center"/>
            </w:pPr>
            <w:r>
              <w:rPr>
                <w:rFonts w:ascii="Arial" w:hAnsi="Arial" w:cs="Arial"/>
                <w:b/>
                <w:i w:val="0"/>
                <w:caps w:val="0"/>
                <w:color w:val="FFFFFF"/>
                <w:sz w:val="34"/>
              </w:rPr>
              <w:t>3</w:t>
            </w:r>
          </w:p>
        </w:tc>
        <w:tc>
          <w:tcPr>
            <w:tcW w:type="dxa" w:w="8755"/>
            <w:shd w:val="clear" w:color="auto" w:fill="FEF9F0"/>
            <w:tcMar>
              <w:top w:w="110" w:type="dxa"/>
              <w:start w:w="150" w:type="dxa"/>
              <w:bottom w:w="110" w:type="dxa"/>
              <w:end w:w="150" w:type="dxa"/>
            </w:tcMar>
            <w:tcBorders>
              <w:top w:val="single" w:sz="4" w:space="0" w:color="E4E7EA"/>
              <w:left w:val="nil"/>
              <w:bottom w:val="single" w:sz="4" w:space="0" w:color="E4E7EA"/>
              <w:right w:val="single" w:sz="4" w:space="0" w:color="E4E7EA"/>
            </w:tcBorders>
          </w:tcPr>
          <w:p>
            <w:pPr>
              <w:spacing w:after="60"/>
            </w:pPr>
            <w:r>
              <w:rPr>
                <w:rFonts w:ascii="Arial" w:hAnsi="Arial" w:cs="Arial"/>
                <w:b/>
                <w:i w:val="0"/>
                <w:caps/>
                <w:color w:val="7D6608"/>
                <w:sz w:val="18"/>
              </w:rPr>
              <w:t>For Compass Weekly</w:t>
            </w:r>
          </w:p>
          <w:p>
            <w:pPr>
              <w:spacing w:after="0"/>
            </w:pPr>
            <w:r>
              <w:rPr>
                <w:rFonts w:ascii="Arial" w:hAnsi="Arial" w:cs="Arial"/>
                <w:b w:val="0"/>
                <w:i w:val="0"/>
                <w:caps w:val="0"/>
                <w:color w:val="1A252F"/>
                <w:sz w:val="20"/>
              </w:rPr>
              <w:t>One self-report engagement number per student. The weekly risk model gives it 20 per cent of the composite and uses it to spot students whose self-report and Canvas behaviour disagree.</w:t>
            </w:r>
          </w:p>
        </w:tc>
      </w:tr>
    </w:tbl>
    <w:p>
      <w:pPr>
        <w:spacing w:after="40"/>
      </w:pPr>
    </w:p>
    <w:p>
      <w:pPr>
        <w:spacing w:after="140"/>
      </w:pPr>
      <w:r>
        <w:rPr>
          <w:rFonts w:ascii="Arial" w:hAnsi="Arial" w:cs="Arial"/>
          <w:b w:val="0"/>
          <w:i w:val="0"/>
          <w:caps w:val="0"/>
          <w:color w:val="1A252F"/>
          <w:sz w:val="21"/>
        </w:rPr>
        <w:t>Every question in version 2 had to serve at least one of these. Questions that served none were cut.</w:t>
      </w:r>
    </w:p>
    <w:p>
      <w:pPr>
        <w:spacing w:before="400" w:after="120"/>
        <w:pBdr>
          <w:bottom w:val="single" w:sz="8" w:space="6" w:color="1A252F"/>
        </w:pBdr>
      </w:pPr>
      <w:r>
        <w:rPr>
          <w:rFonts w:ascii="Arial" w:hAnsi="Arial" w:cs="Arial"/>
          <w:b/>
          <w:i w:val="0"/>
          <w:caps/>
          <w:color w:val="000000"/>
          <w:sz w:val="32"/>
        </w:rPr>
        <w:t>2. What the research says to measure</w:t>
      </w:r>
    </w:p>
    <w:p>
      <w:pPr>
        <w:spacing w:before="40" w:after="140"/>
        <w:ind w:left="144"/>
        <w:pBdr>
          <w:left w:val="single" w:sz="18" w:space="7" w:color="1F618D"/>
        </w:pBdr>
      </w:pPr>
      <w:r>
        <w:rPr>
          <w:rFonts w:ascii="Arial" w:hAnsi="Arial" w:cs="Arial"/>
          <w:b/>
          <w:i w:val="0"/>
          <w:caps w:val="0"/>
          <w:color w:val="1A252F"/>
          <w:sz w:val="21"/>
        </w:rPr>
        <w:t>Measure what predicts persistence and what the team can act on. Leave diagnosis to clinicians.</w:t>
      </w:r>
    </w:p>
    <w:tbl>
      <w:tblPr>
        <w:tblW w:type="auto" w:w="0"/>
        <w:jc w:val="center"/>
        <w:tblLook w:firstColumn="1" w:firstRow="1" w:lastColumn="0" w:lastRow="0" w:noHBand="0" w:noVBand="1" w:val="04A0"/>
      </w:tblPr>
      <w:tblGrid>
        <w:gridCol w:w="2232"/>
        <w:gridCol w:w="4320"/>
        <w:gridCol w:w="2808"/>
      </w:tblGrid>
      <w:tr>
        <w:tc>
          <w:tcPr>
            <w:tcW w:type="dxa" w:w="2232"/>
            <w:shd w:val="clear" w:color="auto" w:fill="1A252F"/>
            <w:tcMar>
              <w:top w:w="80" w:type="dxa"/>
              <w:start w:w="120" w:type="dxa"/>
              <w:bottom w:w="80" w:type="dxa"/>
              <w:end w:w="120" w:type="dxa"/>
            </w:tcMar>
            <w:tcBorders>
              <w:top w:val="single" w:sz="6" w:space="0" w:color="1A252F"/>
              <w:left w:val="single" w:sz="6" w:space="0" w:color="1A252F"/>
              <w:bottom w:val="single" w:sz="6" w:space="0" w:color="1A252F"/>
              <w:right w:val="single" w:sz="6" w:space="0" w:color="1A252F"/>
            </w:tcBorders>
          </w:tcPr>
          <w:p>
            <w:pPr>
              <w:spacing w:after="0"/>
            </w:pPr>
            <w:r>
              <w:rPr>
                <w:rFonts w:ascii="Arial" w:hAnsi="Arial" w:cs="Arial"/>
                <w:b/>
                <w:i w:val="0"/>
                <w:caps w:val="0"/>
                <w:color w:val="FFFFFF"/>
                <w:sz w:val="19"/>
              </w:rPr>
              <w:t>What</w:t>
            </w:r>
          </w:p>
        </w:tc>
        <w:tc>
          <w:tcPr>
            <w:tcW w:type="dxa" w:w="4320"/>
            <w:shd w:val="clear" w:color="auto" w:fill="1A252F"/>
            <w:tcMar>
              <w:top w:w="80" w:type="dxa"/>
              <w:start w:w="120" w:type="dxa"/>
              <w:bottom w:w="80" w:type="dxa"/>
              <w:end w:w="120" w:type="dxa"/>
            </w:tcMar>
            <w:tcBorders>
              <w:top w:val="single" w:sz="6" w:space="0" w:color="1A252F"/>
              <w:left w:val="single" w:sz="6" w:space="0" w:color="1A252F"/>
              <w:bottom w:val="single" w:sz="6" w:space="0" w:color="1A252F"/>
              <w:right w:val="single" w:sz="6" w:space="0" w:color="1A252F"/>
            </w:tcBorders>
          </w:tcPr>
          <w:p>
            <w:pPr>
              <w:spacing w:after="0"/>
            </w:pPr>
            <w:r>
              <w:rPr>
                <w:rFonts w:ascii="Arial" w:hAnsi="Arial" w:cs="Arial"/>
                <w:b/>
                <w:i w:val="0"/>
                <w:caps w:val="0"/>
                <w:color w:val="FFFFFF"/>
                <w:sz w:val="19"/>
              </w:rPr>
              <w:t>Evidence</w:t>
            </w:r>
          </w:p>
        </w:tc>
        <w:tc>
          <w:tcPr>
            <w:tcW w:type="dxa" w:w="2808"/>
            <w:shd w:val="clear" w:color="auto" w:fill="1A252F"/>
            <w:tcMar>
              <w:top w:w="80" w:type="dxa"/>
              <w:start w:w="120" w:type="dxa"/>
              <w:bottom w:w="80" w:type="dxa"/>
              <w:end w:w="120" w:type="dxa"/>
            </w:tcMar>
            <w:tcBorders>
              <w:top w:val="single" w:sz="6" w:space="0" w:color="1A252F"/>
              <w:left w:val="single" w:sz="6" w:space="0" w:color="1A252F"/>
              <w:bottom w:val="single" w:sz="6" w:space="0" w:color="1A252F"/>
              <w:right w:val="single" w:sz="6" w:space="0" w:color="1A252F"/>
            </w:tcBorders>
          </w:tcPr>
          <w:p>
            <w:pPr>
              <w:spacing w:after="0"/>
            </w:pPr>
            <w:r>
              <w:rPr>
                <w:rFonts w:ascii="Arial" w:hAnsi="Arial" w:cs="Arial"/>
                <w:b/>
                <w:i w:val="0"/>
                <w:caps w:val="0"/>
                <w:color w:val="FFFFFF"/>
                <w:sz w:val="19"/>
              </w:rPr>
              <w:t>What the team does with it</w:t>
            </w:r>
          </w:p>
        </w:tc>
      </w:tr>
      <w:tr>
        <w:tc>
          <w:tcPr>
            <w:tcW w:type="dxa" w:w="2232"/>
            <w:shd w:val="clear" w:color="auto" w:fill="EBF5FB"/>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i w:val="0"/>
                <w:caps w:val="0"/>
                <w:color w:val="1A252F"/>
                <w:sz w:val="19"/>
              </w:rPr>
              <w:t>Academic confidence (self-efficacy)</w:t>
            </w:r>
          </w:p>
        </w:tc>
        <w:tc>
          <w:tcPr>
            <w:tcW w:type="dxa" w:w="4320"/>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The strongest single psychological correlate of university GPA among 50 measures (Richardson, Abraham and Bond, 2012). Also predicts retention (Robbins and others, 2004).</w:t>
            </w:r>
          </w:p>
        </w:tc>
        <w:tc>
          <w:tcPr>
            <w:tcW w:type="dxa" w:w="2808"/>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Pairs low confidence with early, small wins: office hours, peer recap.</w:t>
            </w:r>
          </w:p>
        </w:tc>
      </w:tr>
      <w:tr>
        <w:tc>
          <w:tcPr>
            <w:tcW w:type="dxa" w:w="2232"/>
            <w:shd w:val="clear" w:color="auto" w:fill="EBF5FB"/>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i w:val="0"/>
                <w:caps w:val="0"/>
                <w:color w:val="1A252F"/>
                <w:sz w:val="19"/>
              </w:rPr>
              <w:t>Study skills and strategies</w:t>
            </w:r>
          </w:p>
        </w:tc>
        <w:tc>
          <w:tcPr>
            <w:tcW w:type="dxa" w:w="4320"/>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Academic-related skills predict retention about as well as confidence (Robbins and others, 2004). Self-testing and spaced practice are the two high-utility techniques; rereading and highlighting are low (Dunlosky and others, 2013).</w:t>
            </w:r>
          </w:p>
        </w:tc>
        <w:tc>
          <w:tcPr>
            <w:tcW w:type="dxa" w:w="2808"/>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Studenting 101, Adulting 101 Time Management.</w:t>
            </w:r>
          </w:p>
        </w:tc>
      </w:tr>
      <w:tr>
        <w:tc>
          <w:tcPr>
            <w:tcW w:type="dxa" w:w="2232"/>
            <w:shd w:val="clear" w:color="auto" w:fill="EBF5FB"/>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i w:val="0"/>
                <w:caps w:val="0"/>
                <w:color w:val="1A252F"/>
                <w:sz w:val="19"/>
              </w:rPr>
              <w:t>Goals and programme fit</w:t>
            </w:r>
          </w:p>
        </w:tc>
        <w:tc>
          <w:tcPr>
            <w:tcW w:type="dxa" w:w="4320"/>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Academic goals and institutional commitment predict staying (Robbins and others, 2004).</w:t>
            </w:r>
          </w:p>
        </w:tc>
        <w:tc>
          <w:tcPr>
            <w:tcW w:type="dxa" w:w="2808"/>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Referral to Student Professional Development.</w:t>
            </w:r>
          </w:p>
        </w:tc>
      </w:tr>
      <w:tr>
        <w:tc>
          <w:tcPr>
            <w:tcW w:type="dxa" w:w="2232"/>
            <w:shd w:val="clear" w:color="auto" w:fill="EBF5FB"/>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i w:val="0"/>
                <w:caps w:val="0"/>
                <w:color w:val="1A252F"/>
                <w:sz w:val="19"/>
              </w:rPr>
              <w:t>Belonging</w:t>
            </w:r>
          </w:p>
        </w:tc>
        <w:tc>
          <w:tcPr>
            <w:tcW w:type="dxa" w:w="4320"/>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Belonging uncertainty depresses achievement; in a 22-institution trial, a brief belonging message raised first-year full-time completion for students from groups that usually progress at lower rates, where those groups had real chances to belong (Walton and Cohen, 2007; Walton and others, 2023).</w:t>
            </w:r>
          </w:p>
        </w:tc>
        <w:tc>
          <w:tcPr>
            <w:tcW w:type="dxa" w:w="2808"/>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Peer recap, learning communities, and a normalising message in every letter.</w:t>
            </w:r>
          </w:p>
        </w:tc>
      </w:tr>
      <w:tr>
        <w:tc>
          <w:tcPr>
            <w:tcW w:type="dxa" w:w="2232"/>
            <w:shd w:val="clear" w:color="auto" w:fill="EBF5FB"/>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i w:val="0"/>
                <w:caps w:val="0"/>
                <w:color w:val="1A252F"/>
                <w:sz w:val="19"/>
              </w:rPr>
              <w:t>Help-seeking</w:t>
            </w:r>
          </w:p>
        </w:tc>
        <w:tc>
          <w:tcPr>
            <w:tcW w:type="dxa" w:w="4320"/>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The students who most need help are the least likely to ask; students expecting a D or lower almost never used help (Karabenick and Knapp, 1988, 1991).</w:t>
            </w:r>
          </w:p>
        </w:tc>
        <w:tc>
          <w:tcPr>
            <w:tcW w:type="dxa" w:w="2808"/>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These students are flagged so staff go to them.</w:t>
            </w:r>
          </w:p>
        </w:tc>
      </w:tr>
      <w:tr>
        <w:tc>
          <w:tcPr>
            <w:tcW w:type="dxa" w:w="2232"/>
            <w:shd w:val="clear" w:color="auto" w:fill="EBF5FB"/>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i w:val="0"/>
                <w:caps w:val="0"/>
                <w:color w:val="1A252F"/>
                <w:sz w:val="19"/>
              </w:rPr>
              <w:t>Wellbeing</w:t>
            </w:r>
          </w:p>
        </w:tc>
        <w:tc>
          <w:tcPr>
            <w:tcW w:type="dxa" w:w="4320"/>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WHO-5: five items, free for non-commercial use, validated worldwide. Below 50 out of 100 indicates poor wellbeing (WHO, 2024; Topp and others, 2015).</w:t>
            </w:r>
          </w:p>
        </w:tc>
        <w:tc>
          <w:tcPr>
            <w:tcW w:type="dxa" w:w="2808"/>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Check-in; counselling referral; helplines in the letter.</w:t>
            </w:r>
          </w:p>
        </w:tc>
      </w:tr>
      <w:tr>
        <w:tc>
          <w:tcPr>
            <w:tcW w:type="dxa" w:w="2232"/>
            <w:shd w:val="clear" w:color="auto" w:fill="EBF5FB"/>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i w:val="0"/>
                <w:caps w:val="0"/>
                <w:color w:val="1A252F"/>
                <w:sz w:val="19"/>
              </w:rPr>
              <w:t>Practical load</w:t>
            </w:r>
          </w:p>
        </w:tc>
        <w:tc>
          <w:tcPr>
            <w:tcW w:type="dxa" w:w="4320"/>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Money worries, basic-needs insecurity, long paid-work hours and poor device access are consistently linked to dropping out.</w:t>
            </w:r>
          </w:p>
        </w:tc>
        <w:tc>
          <w:tcPr>
            <w:tcW w:type="dxa" w:w="2808"/>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Referral, planning, Adulting 101 Financial Literacy.</w:t>
            </w:r>
          </w:p>
        </w:tc>
      </w:tr>
    </w:tbl>
    <w:p>
      <w:pPr>
        <w:spacing w:after="40"/>
      </w:pPr>
    </w:p>
    <w:p>
      <w:pPr>
        <w:spacing w:before="200" w:after="60"/>
      </w:pPr>
      <w:r>
        <w:rPr>
          <w:rFonts w:ascii="Arial" w:hAnsi="Arial" w:cs="Arial"/>
          <w:b/>
          <w:i w:val="0"/>
          <w:caps/>
          <w:color w:val="1F618D"/>
          <w:sz w:val="21"/>
        </w:rPr>
        <w:t>How to ask</w:t>
      </w:r>
    </w:p>
    <w:p>
      <w:pPr>
        <w:spacing w:after="60"/>
        <w:ind w:left="403" w:hanging="230"/>
      </w:pPr>
      <w:r>
        <w:rPr>
          <w:rFonts w:ascii="Arial" w:hAnsi="Arial" w:cs="Arial"/>
          <w:b/>
          <w:i w:val="0"/>
          <w:caps w:val="0"/>
          <w:color w:val="1F618D"/>
          <w:sz w:val="21"/>
        </w:rPr>
        <w:t xml:space="preserve">•  </w:t>
      </w:r>
      <w:r>
        <w:rPr>
          <w:rFonts w:ascii="Arial" w:hAnsi="Arial" w:cs="Arial"/>
          <w:b/>
          <w:i w:val="0"/>
          <w:caps w:val="0"/>
          <w:color w:val="1A252F"/>
          <w:sz w:val="21"/>
        </w:rPr>
        <w:t>Use answer options worded for each question</w:t>
      </w:r>
      <w:r>
        <w:rPr>
          <w:rFonts w:ascii="Arial" w:hAnsi="Arial" w:cs="Arial"/>
          <w:b w:val="0"/>
          <w:i w:val="0"/>
          <w:caps w:val="0"/>
          <w:color w:val="1A252F"/>
          <w:sz w:val="21"/>
        </w:rPr>
        <w:t xml:space="preserve"> rather than a general agree-to-disagree scale. They produce noticeably better data and reduce the habit of agreeing with everything (Saris and others, 2010).</w:t>
      </w:r>
    </w:p>
    <w:p>
      <w:pPr>
        <w:spacing w:after="60"/>
        <w:ind w:left="403" w:hanging="230"/>
      </w:pPr>
      <w:r>
        <w:rPr>
          <w:rFonts w:ascii="Arial" w:hAnsi="Arial" w:cs="Arial"/>
          <w:b/>
          <w:i w:val="0"/>
          <w:caps w:val="0"/>
          <w:color w:val="1F618D"/>
          <w:sz w:val="21"/>
        </w:rPr>
        <w:t xml:space="preserve">•  </w:t>
      </w:r>
      <w:r>
        <w:rPr>
          <w:rFonts w:ascii="Arial" w:hAnsi="Arial" w:cs="Arial"/>
          <w:b/>
          <w:i w:val="0"/>
          <w:caps w:val="0"/>
          <w:color w:val="1A252F"/>
          <w:sz w:val="21"/>
        </w:rPr>
        <w:t>Include reverse-worded items</w:t>
      </w:r>
      <w:r>
        <w:rPr>
          <w:rFonts w:ascii="Arial" w:hAnsi="Arial" w:cs="Arial"/>
          <w:b w:val="0"/>
          <w:i w:val="0"/>
          <w:caps w:val="0"/>
          <w:color w:val="1A252F"/>
          <w:sz w:val="21"/>
        </w:rPr>
        <w:t xml:space="preserve"> so a student who taps the same answer all the way down is visible.</w:t>
      </w:r>
    </w:p>
    <w:p>
      <w:pPr>
        <w:spacing w:after="60"/>
        <w:ind w:left="403" w:hanging="230"/>
      </w:pPr>
      <w:r>
        <w:rPr>
          <w:rFonts w:ascii="Arial" w:hAnsi="Arial" w:cs="Arial"/>
          <w:b/>
          <w:i w:val="0"/>
          <w:caps w:val="0"/>
          <w:color w:val="1F618D"/>
          <w:sz w:val="21"/>
        </w:rPr>
        <w:t xml:space="preserve">•  </w:t>
      </w:r>
      <w:r>
        <w:rPr>
          <w:rFonts w:ascii="Arial" w:hAnsi="Arial" w:cs="Arial"/>
          <w:b/>
          <w:i w:val="0"/>
          <w:caps w:val="0"/>
          <w:color w:val="1A252F"/>
          <w:sz w:val="21"/>
        </w:rPr>
        <w:t>One question per screen on phones.</w:t>
      </w:r>
      <w:r>
        <w:rPr>
          <w:rFonts w:ascii="Arial" w:hAnsi="Arial" w:cs="Arial"/>
          <w:b w:val="0"/>
          <w:i w:val="0"/>
          <w:caps w:val="0"/>
          <w:color w:val="1A252F"/>
          <w:sz w:val="21"/>
        </w:rPr>
        <w:t xml:space="preserve"> Grids on small screens increase straight-lining and drop-out.</w:t>
      </w:r>
    </w:p>
    <w:p>
      <w:pPr>
        <w:spacing w:after="60"/>
        <w:ind w:left="403" w:hanging="230"/>
      </w:pPr>
      <w:r>
        <w:rPr>
          <w:rFonts w:ascii="Arial" w:hAnsi="Arial" w:cs="Arial"/>
          <w:b/>
          <w:i w:val="0"/>
          <w:caps w:val="0"/>
          <w:color w:val="1F618D"/>
          <w:sz w:val="21"/>
        </w:rPr>
        <w:t xml:space="preserve">•  </w:t>
      </w:r>
      <w:r>
        <w:rPr>
          <w:rFonts w:ascii="Arial" w:hAnsi="Arial" w:cs="Arial"/>
          <w:b/>
          <w:i w:val="0"/>
          <w:caps w:val="0"/>
          <w:color w:val="1A252F"/>
          <w:sz w:val="21"/>
        </w:rPr>
        <w:t>Let students skip anything.</w:t>
      </w:r>
      <w:r>
        <w:rPr>
          <w:rFonts w:ascii="Arial" w:hAnsi="Arial" w:cs="Arial"/>
          <w:b w:val="0"/>
          <w:i w:val="0"/>
          <w:caps w:val="0"/>
          <w:color w:val="1A252F"/>
          <w:sz w:val="21"/>
        </w:rPr>
        <w:t xml:space="preserve"> Forced answers on sensitive items produce guesses, not data, and consent has to be real.</w:t>
      </w:r>
    </w:p>
    <w:p>
      <w:pPr>
        <w:spacing w:before="200" w:after="60"/>
      </w:pPr>
      <w:r>
        <w:rPr>
          <w:rFonts w:ascii="Arial" w:hAnsi="Arial" w:cs="Arial"/>
          <w:b/>
          <w:i w:val="0"/>
          <w:caps/>
          <w:color w:val="1F618D"/>
          <w:sz w:val="21"/>
        </w:rPr>
        <w:t>How to report back</w:t>
      </w:r>
    </w:p>
    <w:p>
      <w:pPr>
        <w:spacing w:after="60"/>
        <w:ind w:left="403" w:hanging="230"/>
      </w:pPr>
      <w:r>
        <w:rPr>
          <w:rFonts w:ascii="Arial" w:hAnsi="Arial" w:cs="Arial"/>
          <w:b/>
          <w:i w:val="0"/>
          <w:caps w:val="0"/>
          <w:color w:val="1F618D"/>
          <w:sz w:val="21"/>
        </w:rPr>
        <w:t xml:space="preserve">•  </w:t>
      </w:r>
      <w:r>
        <w:rPr>
          <w:rFonts w:ascii="Arial" w:hAnsi="Arial" w:cs="Arial"/>
          <w:b/>
          <w:i w:val="0"/>
          <w:caps w:val="0"/>
          <w:color w:val="1A252F"/>
          <w:sz w:val="21"/>
        </w:rPr>
        <w:t>Point feedback at the task, not the person.</w:t>
      </w:r>
      <w:r>
        <w:rPr>
          <w:rFonts w:ascii="Arial" w:hAnsi="Arial" w:cs="Arial"/>
          <w:b w:val="0"/>
          <w:i w:val="0"/>
          <w:caps w:val="0"/>
          <w:color w:val="1A252F"/>
          <w:sz w:val="21"/>
        </w:rPr>
        <w:t xml:space="preserve"> In a meta-analysis of 607 effects, more than a third of feedback interventions made performance worse, and feedback that drew attention to the self rather than the task did least well (Kluger and DeNisi, 1996).</w:t>
      </w:r>
    </w:p>
    <w:p>
      <w:pPr>
        <w:spacing w:after="60"/>
        <w:ind w:left="403" w:hanging="230"/>
      </w:pPr>
      <w:r>
        <w:rPr>
          <w:rFonts w:ascii="Arial" w:hAnsi="Arial" w:cs="Arial"/>
          <w:b/>
          <w:i w:val="0"/>
          <w:caps w:val="0"/>
          <w:color w:val="1F618D"/>
          <w:sz w:val="21"/>
        </w:rPr>
        <w:t xml:space="preserve">•  </w:t>
      </w:r>
      <w:r>
        <w:rPr>
          <w:rFonts w:ascii="Arial" w:hAnsi="Arial" w:cs="Arial"/>
          <w:b/>
          <w:i w:val="0"/>
          <w:caps w:val="0"/>
          <w:color w:val="1A252F"/>
          <w:sz w:val="21"/>
        </w:rPr>
        <w:t>Do not frame anything as a test of ability.</w:t>
      </w:r>
      <w:r>
        <w:rPr>
          <w:rFonts w:ascii="Arial" w:hAnsi="Arial" w:cs="Arial"/>
          <w:b w:val="0"/>
          <w:i w:val="0"/>
          <w:caps w:val="0"/>
          <w:color w:val="1A252F"/>
          <w:sz w:val="21"/>
        </w:rPr>
        <w:t xml:space="preserve"> Calling a task diagnostic of ability lowered the scores of students who carried a negative stereotype (Steele and Aronson, 1995).</w:t>
      </w:r>
    </w:p>
    <w:p>
      <w:pPr>
        <w:spacing w:after="60"/>
        <w:ind w:left="403" w:hanging="230"/>
      </w:pPr>
      <w:r>
        <w:rPr>
          <w:rFonts w:ascii="Arial" w:hAnsi="Arial" w:cs="Arial"/>
          <w:b/>
          <w:i w:val="0"/>
          <w:caps w:val="0"/>
          <w:color w:val="1F618D"/>
          <w:sz w:val="21"/>
        </w:rPr>
        <w:t xml:space="preserve">•  </w:t>
      </w:r>
      <w:r>
        <w:rPr>
          <w:rFonts w:ascii="Arial" w:hAnsi="Arial" w:cs="Arial"/>
          <w:b/>
          <w:i w:val="0"/>
          <w:caps w:val="0"/>
          <w:color w:val="1A252F"/>
          <w:sz w:val="21"/>
        </w:rPr>
        <w:t>Pair high standards with assurance.</w:t>
      </w:r>
      <w:r>
        <w:rPr>
          <w:rFonts w:ascii="Arial" w:hAnsi="Arial" w:cs="Arial"/>
          <w:b w:val="0"/>
          <w:i w:val="0"/>
          <w:caps w:val="0"/>
          <w:color w:val="1A252F"/>
          <w:sz w:val="21"/>
        </w:rPr>
        <w:t xml:space="preserve"> Critical feedback framed as high standards plus belief in the student raised revision rates and trust (Yeager and others, 2014).</w:t>
      </w:r>
    </w:p>
    <w:p>
      <w:pPr>
        <w:spacing w:before="400" w:after="120"/>
        <w:pBdr>
          <w:bottom w:val="single" w:sz="8" w:space="6" w:color="1A252F"/>
        </w:pBdr>
      </w:pPr>
      <w:r>
        <w:rPr>
          <w:rFonts w:ascii="Arial" w:hAnsi="Arial" w:cs="Arial"/>
          <w:b/>
          <w:i w:val="0"/>
          <w:caps/>
          <w:color w:val="000000"/>
          <w:sz w:val="32"/>
        </w:rPr>
        <w:t>3. Audit of version 1</w:t>
      </w:r>
    </w:p>
    <w:p>
      <w:pPr>
        <w:spacing w:before="40" w:after="140"/>
        <w:ind w:left="144"/>
        <w:pBdr>
          <w:left w:val="single" w:sz="18" w:space="7" w:color="1F618D"/>
        </w:pBdr>
      </w:pPr>
      <w:r>
        <w:rPr>
          <w:rFonts w:ascii="Arial" w:hAnsi="Arial" w:cs="Arial"/>
          <w:b/>
          <w:i w:val="0"/>
          <w:caps w:val="0"/>
          <w:color w:val="1A252F"/>
          <w:sz w:val="21"/>
        </w:rPr>
        <w:t>Version 1 asked good questions about engagement, and three kinds of question it could not use safely.</w:t>
      </w:r>
    </w:p>
    <w:tbl>
      <w:tblPr>
        <w:tblW w:type="auto" w:w="0"/>
        <w:jc w:val="center"/>
        <w:tblLook w:firstColumn="1" w:firstRow="1" w:lastColumn="0" w:lastRow="0" w:noHBand="0" w:noVBand="1" w:val="04A0"/>
      </w:tblPr>
      <w:tblGrid>
        <w:gridCol w:w="2304"/>
        <w:gridCol w:w="1296"/>
        <w:gridCol w:w="5760"/>
      </w:tblGrid>
      <w:tr>
        <w:tc>
          <w:tcPr>
            <w:tcW w:type="dxa" w:w="2304"/>
            <w:shd w:val="clear" w:color="auto" w:fill="1A252F"/>
            <w:tcMar>
              <w:top w:w="80" w:type="dxa"/>
              <w:start w:w="120" w:type="dxa"/>
              <w:bottom w:w="80" w:type="dxa"/>
              <w:end w:w="120" w:type="dxa"/>
            </w:tcMar>
            <w:tcBorders>
              <w:top w:val="single" w:sz="6" w:space="0" w:color="1A252F"/>
              <w:left w:val="single" w:sz="6" w:space="0" w:color="1A252F"/>
              <w:bottom w:val="single" w:sz="6" w:space="0" w:color="1A252F"/>
              <w:right w:val="single" w:sz="6" w:space="0" w:color="1A252F"/>
            </w:tcBorders>
          </w:tcPr>
          <w:p>
            <w:pPr>
              <w:spacing w:after="0"/>
            </w:pPr>
            <w:r>
              <w:rPr>
                <w:rFonts w:ascii="Arial" w:hAnsi="Arial" w:cs="Arial"/>
                <w:b/>
                <w:i w:val="0"/>
                <w:caps w:val="0"/>
                <w:color w:val="FFFFFF"/>
                <w:sz w:val="19"/>
              </w:rPr>
              <w:t>Section</w:t>
            </w:r>
          </w:p>
        </w:tc>
        <w:tc>
          <w:tcPr>
            <w:tcW w:type="dxa" w:w="1296"/>
            <w:shd w:val="clear" w:color="auto" w:fill="1A252F"/>
            <w:tcMar>
              <w:top w:w="80" w:type="dxa"/>
              <w:start w:w="120" w:type="dxa"/>
              <w:bottom w:w="80" w:type="dxa"/>
              <w:end w:w="120" w:type="dxa"/>
            </w:tcMar>
            <w:tcBorders>
              <w:top w:val="single" w:sz="6" w:space="0" w:color="1A252F"/>
              <w:left w:val="single" w:sz="6" w:space="0" w:color="1A252F"/>
              <w:bottom w:val="single" w:sz="6" w:space="0" w:color="1A252F"/>
              <w:right w:val="single" w:sz="6" w:space="0" w:color="1A252F"/>
            </w:tcBorders>
          </w:tcPr>
          <w:p>
            <w:pPr>
              <w:spacing w:after="0"/>
            </w:pPr>
            <w:r>
              <w:rPr>
                <w:rFonts w:ascii="Arial" w:hAnsi="Arial" w:cs="Arial"/>
                <w:b/>
                <w:i w:val="0"/>
                <w:caps w:val="0"/>
                <w:color w:val="FFFFFF"/>
                <w:sz w:val="19"/>
              </w:rPr>
              <w:t>Verdict</w:t>
            </w:r>
          </w:p>
        </w:tc>
        <w:tc>
          <w:tcPr>
            <w:tcW w:type="dxa" w:w="5760"/>
            <w:shd w:val="clear" w:color="auto" w:fill="1A252F"/>
            <w:tcMar>
              <w:top w:w="80" w:type="dxa"/>
              <w:start w:w="120" w:type="dxa"/>
              <w:bottom w:w="80" w:type="dxa"/>
              <w:end w:w="120" w:type="dxa"/>
            </w:tcMar>
            <w:tcBorders>
              <w:top w:val="single" w:sz="6" w:space="0" w:color="1A252F"/>
              <w:left w:val="single" w:sz="6" w:space="0" w:color="1A252F"/>
              <w:bottom w:val="single" w:sz="6" w:space="0" w:color="1A252F"/>
              <w:right w:val="single" w:sz="6" w:space="0" w:color="1A252F"/>
            </w:tcBorders>
          </w:tcPr>
          <w:p>
            <w:pPr>
              <w:spacing w:after="0"/>
            </w:pPr>
            <w:r>
              <w:rPr>
                <w:rFonts w:ascii="Arial" w:hAnsi="Arial" w:cs="Arial"/>
                <w:b/>
                <w:i w:val="0"/>
                <w:caps w:val="0"/>
                <w:color w:val="FFFFFF"/>
                <w:sz w:val="19"/>
              </w:rPr>
              <w:t>Why</w:t>
            </w:r>
          </w:p>
        </w:tc>
      </w:tr>
      <w:tr>
        <w:tc>
          <w:tcPr>
            <w:tcW w:type="dxa" w:w="2304"/>
            <w:shd w:val="clear" w:color="auto" w:fill="EBF5FB"/>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i w:val="0"/>
                <w:caps w:val="0"/>
                <w:color w:val="1A252F"/>
                <w:sz w:val="19"/>
              </w:rPr>
              <w:t>A. Foundation (6 items)</w:t>
            </w:r>
          </w:p>
        </w:tc>
        <w:tc>
          <w:tcPr>
            <w:tcW w:type="dxa" w:w="1296"/>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Rework</w:t>
            </w:r>
          </w:p>
        </w:tc>
        <w:tc>
          <w:tcPr>
            <w:tcW w:type="dxa" w:w="5760"/>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The language item mixed English comfort with translation-tool use. The three wellbeing items were invented and unvalidated; WHO-5 replaces them. Prior performance is now asked only of continuing students, about last term.</w:t>
            </w:r>
          </w:p>
        </w:tc>
      </w:tr>
      <w:tr>
        <w:tc>
          <w:tcPr>
            <w:tcW w:type="dxa" w:w="2304"/>
            <w:shd w:val="clear" w:color="auto" w:fill="EBF5FB"/>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i w:val="0"/>
                <w:caps w:val="0"/>
                <w:color w:val="1A252F"/>
                <w:sz w:val="19"/>
              </w:rPr>
              <w:t>B. Learning profile (15 items)</w:t>
            </w:r>
          </w:p>
        </w:tc>
        <w:tc>
          <w:tcPr>
            <w:tcW w:type="dxa" w:w="1296"/>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Remove</w:t>
            </w:r>
          </w:p>
        </w:tc>
        <w:tc>
          <w:tcPr>
            <w:tcW w:type="dxa" w:w="5760"/>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Six items were the WHO adult ADHD screener (ASRS) with made-up thresholds. In two large samples of young adults, 86 to 90 per cent of positive ADHD screens were likely false (Chamberlain, Cortese and Grant, 2021). The reading items read second-language students as possible dyslexics. Students saw red 'Recommend follow-up' and 'consider assessment referral' labels. The team cannot diagnose or refer clinically from this. Replaced by one voluntary disclosure question.</w:t>
            </w:r>
          </w:p>
        </w:tc>
      </w:tr>
      <w:tr>
        <w:tc>
          <w:tcPr>
            <w:tcW w:type="dxa" w:w="2304"/>
            <w:shd w:val="clear" w:color="auto" w:fill="EBF5FB"/>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i w:val="0"/>
                <w:caps w:val="0"/>
                <w:color w:val="1A252F"/>
                <w:sz w:val="19"/>
              </w:rPr>
              <w:t>C. Engagement (30 items)</w:t>
            </w:r>
          </w:p>
        </w:tc>
        <w:tc>
          <w:tcPr>
            <w:tcW w:type="dxa" w:w="1296"/>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Rework</w:t>
            </w:r>
          </w:p>
        </w:tc>
        <w:tc>
          <w:tcPr>
            <w:tcW w:type="dxa" w:w="5760"/>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Good constructs, but all 30 were agree-or-disagree and all positively worded, so habitual agreeing inflated every score. Cut to 22 items with item-specific answers, reverse items and the validated belonging-uncertainty items.</w:t>
            </w:r>
          </w:p>
        </w:tc>
      </w:tr>
      <w:tr>
        <w:tc>
          <w:tcPr>
            <w:tcW w:type="dxa" w:w="2304"/>
            <w:shd w:val="clear" w:color="auto" w:fill="EBF5FB"/>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i w:val="0"/>
                <w:caps w:val="0"/>
                <w:color w:val="1A252F"/>
                <w:sz w:val="19"/>
              </w:rPr>
              <w:t>Grit indicator</w:t>
            </w:r>
          </w:p>
        </w:tc>
        <w:tc>
          <w:tcPr>
            <w:tcW w:type="dxa" w:w="1296"/>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Remove</w:t>
            </w:r>
          </w:p>
        </w:tc>
        <w:tc>
          <w:tcPr>
            <w:tcW w:type="dxa" w:w="5760"/>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Six items borrowed from other scales, none from a grit measure. Grit itself is largely conscientiousness and predicts performance only modestly (Credé, Tynan and Harms, 2017).</w:t>
            </w:r>
          </w:p>
        </w:tc>
      </w:tr>
      <w:tr>
        <w:tc>
          <w:tcPr>
            <w:tcW w:type="dxa" w:w="2304"/>
            <w:shd w:val="clear" w:color="auto" w:fill="EBF5FB"/>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i w:val="0"/>
                <w:caps w:val="0"/>
                <w:color w:val="1A252F"/>
                <w:sz w:val="19"/>
              </w:rPr>
              <w:t>D. Timed thinking test (12 items)</w:t>
            </w:r>
          </w:p>
        </w:tc>
        <w:tc>
          <w:tcPr>
            <w:tcW w:type="dxa" w:w="1296"/>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Remove</w:t>
            </w:r>
          </w:p>
        </w:tc>
        <w:tc>
          <w:tcPr>
            <w:tcW w:type="dxa" w:w="5760"/>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Four items per skill cannot measure anything reliably. Timed, ability-framed testing risks stereotype threat. ALCHE already holds academic records. Some items assumed dollars and Western retail.</w:t>
            </w:r>
          </w:p>
        </w:tc>
      </w:tr>
      <w:tr>
        <w:tc>
          <w:tcPr>
            <w:tcW w:type="dxa" w:w="2304"/>
            <w:shd w:val="clear" w:color="auto" w:fill="EBF5FB"/>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i w:val="0"/>
                <w:caps w:val="0"/>
                <w:color w:val="1A252F"/>
                <w:sz w:val="19"/>
              </w:rPr>
              <w:t>E. Reflection</w:t>
            </w:r>
          </w:p>
        </w:tc>
        <w:tc>
          <w:tcPr>
            <w:tcW w:type="dxa" w:w="1296"/>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Keep and extend</w:t>
            </w:r>
          </w:p>
        </w:tc>
        <w:tc>
          <w:tcPr>
            <w:tcW w:type="dxa" w:w="5760"/>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Strengths, support wanted and contact preference are the most actionable answers in the form. Options now map to real ALCHE offers.</w:t>
            </w:r>
          </w:p>
        </w:tc>
      </w:tr>
      <w:tr>
        <w:tc>
          <w:tcPr>
            <w:tcW w:type="dxa" w:w="2304"/>
            <w:shd w:val="clear" w:color="auto" w:fill="EBF5FB"/>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i w:val="0"/>
                <w:caps w:val="0"/>
                <w:color w:val="1A252F"/>
                <w:sz w:val="19"/>
              </w:rPr>
              <w:t>Results page</w:t>
            </w:r>
          </w:p>
        </w:tc>
        <w:tc>
          <w:tcPr>
            <w:tcW w:type="dxa" w:w="1296"/>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Replace</w:t>
            </w:r>
          </w:p>
        </w:tc>
        <w:tc>
          <w:tcPr>
            <w:tcW w:type="dxa" w:w="5760"/>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Traffic lights, red HIGH labels, scores out of 150 and 4, and referrals to services ALCHE does not have under those names (Math Lab, Disability Services, Counseling Services).</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FEF9F0"/>
            <w:tcMar>
              <w:top w:w="120" w:type="dxa"/>
              <w:start w:w="160" w:type="dxa"/>
              <w:bottom w:w="120" w:type="dxa"/>
              <w:end w:w="150" w:type="dxa"/>
            </w:tcMar>
            <w:tcBorders>
              <w:top w:val="single" w:sz="4" w:space="0" w:color="E4E7EA"/>
              <w:left w:val="single" w:sz="24" w:space="0" w:color="922B21"/>
              <w:bottom w:val="single" w:sz="4" w:space="0" w:color="E4E7EA"/>
              <w:right w:val="single" w:sz="4" w:space="0" w:color="E4E7EA"/>
            </w:tcBorders>
          </w:tcPr>
          <w:p>
            <w:pPr>
              <w:spacing w:after="60"/>
            </w:pPr>
            <w:r>
              <w:rPr>
                <w:rFonts w:ascii="Arial" w:hAnsi="Arial" w:cs="Arial"/>
                <w:b/>
                <w:i w:val="0"/>
                <w:caps/>
                <w:color w:val="922B21"/>
                <w:sz w:val="18"/>
              </w:rPr>
              <w:t>What this changes for you</w:t>
            </w:r>
          </w:p>
          <w:p>
            <w:pPr>
              <w:spacing w:after="60"/>
            </w:pPr>
            <w:r>
              <w:rPr>
                <w:rFonts w:ascii="Arial" w:hAnsi="Arial" w:cs="Arial"/>
                <w:b w:val="0"/>
                <w:i w:val="0"/>
                <w:caps w:val="0"/>
                <w:color w:val="1A252F"/>
                <w:sz w:val="20"/>
              </w:rPr>
              <w:t xml:space="preserve">Compass Weekly's 10 per cent 'subjective cognitive' input has no version 2 equivalent. Use the </w:t>
            </w:r>
            <w:r>
              <w:rPr>
                <w:rFonts w:ascii="Arial" w:hAnsi="Arial" w:cs="Arial"/>
                <w:b/>
                <w:i w:val="0"/>
                <w:caps w:val="0"/>
                <w:color w:val="1A252F"/>
                <w:sz w:val="20"/>
              </w:rPr>
              <w:t>Confidence</w:t>
            </w:r>
            <w:r>
              <w:rPr>
                <w:rFonts w:ascii="Arial" w:hAnsi="Arial" w:cs="Arial"/>
                <w:b w:val="0"/>
                <w:i w:val="0"/>
                <w:caps w:val="0"/>
                <w:color w:val="1A252F"/>
                <w:sz w:val="20"/>
              </w:rPr>
              <w:t xml:space="preserve"> index in its place, or let the model re-weight it away.</w:t>
            </w:r>
          </w:p>
          <w:p>
            <w:pPr>
              <w:spacing w:after="0"/>
            </w:pPr>
            <w:r>
              <w:rPr>
                <w:rFonts w:ascii="Arial" w:hAnsi="Arial" w:cs="Arial"/>
                <w:b w:val="0"/>
                <w:i w:val="0"/>
                <w:caps w:val="0"/>
                <w:color w:val="1A252F"/>
                <w:sz w:val="20"/>
              </w:rPr>
              <w:t>Version 1 and version 2 numbers are on different scales. Do not mix them in one roster column. To compare, rescale version 1 Total Engagement as (score minus 30) divided by 120, times 100.</w:t>
            </w:r>
          </w:p>
        </w:tc>
      </w:tr>
    </w:tbl>
    <w:p>
      <w:pPr>
        <w:spacing w:after="40"/>
      </w:pPr>
    </w:p>
    <w:p>
      <w:pPr>
        <w:spacing w:before="400" w:after="120"/>
        <w:pBdr>
          <w:bottom w:val="single" w:sz="8" w:space="6" w:color="1A252F"/>
        </w:pBdr>
      </w:pPr>
      <w:r>
        <w:rPr>
          <w:rFonts w:ascii="Arial" w:hAnsi="Arial" w:cs="Arial"/>
          <w:b/>
          <w:i w:val="0"/>
          <w:caps/>
          <w:color w:val="000000"/>
          <w:sz w:val="32"/>
        </w:rPr>
        <w:t>4. What version 2 asks</w:t>
      </w:r>
    </w:p>
    <w:p>
      <w:pPr>
        <w:spacing w:before="40" w:after="140"/>
        <w:ind w:left="144"/>
        <w:pBdr>
          <w:left w:val="single" w:sz="18" w:space="7" w:color="1F618D"/>
        </w:pBdr>
      </w:pPr>
      <w:r>
        <w:rPr>
          <w:rFonts w:ascii="Arial" w:hAnsi="Arial" w:cs="Arial"/>
          <w:b/>
          <w:i w:val="0"/>
          <w:caps w:val="0"/>
          <w:color w:val="1A252F"/>
          <w:sz w:val="21"/>
        </w:rPr>
        <w:t>Seven short parts, about 45 taps, untimed, with an intro screen for each part.</w:t>
      </w:r>
    </w:p>
    <w:tbl>
      <w:tblPr>
        <w:tblW w:type="auto" w:w="0"/>
        <w:jc w:val="center"/>
        <w:tblLook w:firstColumn="1" w:firstRow="1" w:lastColumn="0" w:lastRow="0" w:noHBand="0" w:noVBand="1" w:val="04A0"/>
      </w:tblPr>
      <w:tblGrid>
        <w:gridCol w:w="2304"/>
        <w:gridCol w:w="864"/>
        <w:gridCol w:w="6192"/>
      </w:tblGrid>
      <w:tr>
        <w:tc>
          <w:tcPr>
            <w:tcW w:type="dxa" w:w="2304"/>
            <w:shd w:val="clear" w:color="auto" w:fill="1A252F"/>
            <w:tcMar>
              <w:top w:w="80" w:type="dxa"/>
              <w:start w:w="120" w:type="dxa"/>
              <w:bottom w:w="80" w:type="dxa"/>
              <w:end w:w="120" w:type="dxa"/>
            </w:tcMar>
            <w:tcBorders>
              <w:top w:val="single" w:sz="6" w:space="0" w:color="1A252F"/>
              <w:left w:val="single" w:sz="6" w:space="0" w:color="1A252F"/>
              <w:bottom w:val="single" w:sz="6" w:space="0" w:color="1A252F"/>
              <w:right w:val="single" w:sz="6" w:space="0" w:color="1A252F"/>
            </w:tcBorders>
          </w:tcPr>
          <w:p>
            <w:pPr>
              <w:spacing w:after="0"/>
            </w:pPr>
            <w:r>
              <w:rPr>
                <w:rFonts w:ascii="Arial" w:hAnsi="Arial" w:cs="Arial"/>
                <w:b/>
                <w:i w:val="0"/>
                <w:caps w:val="0"/>
                <w:color w:val="FFFFFF"/>
                <w:sz w:val="19"/>
              </w:rPr>
              <w:t>Part</w:t>
            </w:r>
          </w:p>
        </w:tc>
        <w:tc>
          <w:tcPr>
            <w:tcW w:type="dxa" w:w="864"/>
            <w:shd w:val="clear" w:color="auto" w:fill="1A252F"/>
            <w:tcMar>
              <w:top w:w="80" w:type="dxa"/>
              <w:start w:w="120" w:type="dxa"/>
              <w:bottom w:w="80" w:type="dxa"/>
              <w:end w:w="120" w:type="dxa"/>
            </w:tcMar>
            <w:tcBorders>
              <w:top w:val="single" w:sz="6" w:space="0" w:color="1A252F"/>
              <w:left w:val="single" w:sz="6" w:space="0" w:color="1A252F"/>
              <w:bottom w:val="single" w:sz="6" w:space="0" w:color="1A252F"/>
              <w:right w:val="single" w:sz="6" w:space="0" w:color="1A252F"/>
            </w:tcBorders>
          </w:tcPr>
          <w:p>
            <w:pPr>
              <w:spacing w:after="0"/>
            </w:pPr>
            <w:r>
              <w:rPr>
                <w:rFonts w:ascii="Arial" w:hAnsi="Arial" w:cs="Arial"/>
                <w:b/>
                <w:i w:val="0"/>
                <w:caps w:val="0"/>
                <w:color w:val="FFFFFF"/>
                <w:sz w:val="19"/>
              </w:rPr>
              <w:t>Items</w:t>
            </w:r>
          </w:p>
        </w:tc>
        <w:tc>
          <w:tcPr>
            <w:tcW w:type="dxa" w:w="6192"/>
            <w:shd w:val="clear" w:color="auto" w:fill="1A252F"/>
            <w:tcMar>
              <w:top w:w="80" w:type="dxa"/>
              <w:start w:w="120" w:type="dxa"/>
              <w:bottom w:w="80" w:type="dxa"/>
              <w:end w:w="120" w:type="dxa"/>
            </w:tcMar>
            <w:tcBorders>
              <w:top w:val="single" w:sz="6" w:space="0" w:color="1A252F"/>
              <w:left w:val="single" w:sz="6" w:space="0" w:color="1A252F"/>
              <w:bottom w:val="single" w:sz="6" w:space="0" w:color="1A252F"/>
              <w:right w:val="single" w:sz="6" w:space="0" w:color="1A252F"/>
            </w:tcBorders>
          </w:tcPr>
          <w:p>
            <w:pPr>
              <w:spacing w:after="0"/>
            </w:pPr>
            <w:r>
              <w:rPr>
                <w:rFonts w:ascii="Arial" w:hAnsi="Arial" w:cs="Arial"/>
                <w:b/>
                <w:i w:val="0"/>
                <w:caps w:val="0"/>
                <w:color w:val="FFFFFF"/>
                <w:sz w:val="19"/>
              </w:rPr>
              <w:t>What it covers</w:t>
            </w:r>
          </w:p>
        </w:tc>
      </w:tr>
      <w:tr>
        <w:tc>
          <w:tcPr>
            <w:tcW w:type="dxa" w:w="2304"/>
            <w:shd w:val="clear" w:color="auto" w:fill="EBF5FB"/>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i w:val="0"/>
                <w:caps w:val="0"/>
                <w:color w:val="1A252F"/>
                <w:sz w:val="19"/>
              </w:rPr>
              <w:t>1. Your starting point</w:t>
            </w:r>
          </w:p>
        </w:tc>
        <w:tc>
          <w:tcPr>
            <w:tcW w:type="dxa" w:w="864"/>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9</w:t>
            </w:r>
          </w:p>
        </w:tc>
        <w:tc>
          <w:tcPr>
            <w:tcW w:type="dxa" w:w="6192"/>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Feelings about the term; first time at university (new) or how last term went (continuing); first-generation status; language of schooling; previous school's teaching style (new); living situation; device and internet; paid work and caring hours; money worries; prior use of Student Success (continuing).</w:t>
            </w:r>
          </w:p>
        </w:tc>
      </w:tr>
      <w:tr>
        <w:tc>
          <w:tcPr>
            <w:tcW w:type="dxa" w:w="2304"/>
            <w:shd w:val="clear" w:color="auto" w:fill="EBF5FB"/>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i w:val="0"/>
                <w:caps w:val="0"/>
                <w:color w:val="1A252F"/>
                <w:sz w:val="19"/>
              </w:rPr>
              <w:t>2. How you study</w:t>
            </w:r>
          </w:p>
        </w:tc>
        <w:tc>
          <w:tcPr>
            <w:tcW w:type="dxa" w:w="864"/>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7</w:t>
            </w:r>
          </w:p>
        </w:tc>
        <w:tc>
          <w:tcPr>
            <w:tcW w:type="dxa" w:w="6192"/>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Planning, starting early, self-testing, spacing, rereading, asking classmates, focus (reverse-worded). Frequency answers, never to always.</w:t>
            </w:r>
          </w:p>
        </w:tc>
      </w:tr>
      <w:tr>
        <w:tc>
          <w:tcPr>
            <w:tcW w:type="dxa" w:w="2304"/>
            <w:shd w:val="clear" w:color="auto" w:fill="EBF5FB"/>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i w:val="0"/>
                <w:caps w:val="0"/>
                <w:color w:val="1A252F"/>
                <w:sz w:val="19"/>
              </w:rPr>
              <w:t>3. Your confidence</w:t>
            </w:r>
          </w:p>
        </w:tc>
        <w:tc>
          <w:tcPr>
            <w:tcW w:type="dxa" w:w="864"/>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8</w:t>
            </w:r>
          </w:p>
        </w:tc>
        <w:tc>
          <w:tcPr>
            <w:tcW w:type="dxa" w:w="6192"/>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Hardest material, assessments, juggling deadlines (the self-efficacy index), then reading, writing, numbers, presenting and research (each points to a service).</w:t>
            </w:r>
          </w:p>
        </w:tc>
      </w:tr>
      <w:tr>
        <w:tc>
          <w:tcPr>
            <w:tcW w:type="dxa" w:w="2304"/>
            <w:shd w:val="clear" w:color="auto" w:fill="EBF5FB"/>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i w:val="0"/>
                <w:caps w:val="0"/>
                <w:color w:val="1A252F"/>
                <w:sz w:val="19"/>
              </w:rPr>
              <w:t>4. Direction</w:t>
            </w:r>
          </w:p>
        </w:tc>
        <w:tc>
          <w:tcPr>
            <w:tcW w:type="dxa" w:w="864"/>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3</w:t>
            </w:r>
          </w:p>
        </w:tc>
        <w:tc>
          <w:tcPr>
            <w:tcW w:type="dxa" w:w="6192"/>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Goal clarity, course relevance, programme fit.</w:t>
            </w:r>
          </w:p>
        </w:tc>
      </w:tr>
      <w:tr>
        <w:tc>
          <w:tcPr>
            <w:tcW w:type="dxa" w:w="2304"/>
            <w:shd w:val="clear" w:color="auto" w:fill="EBF5FB"/>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i w:val="0"/>
                <w:caps w:val="0"/>
                <w:color w:val="1A252F"/>
                <w:sz w:val="19"/>
              </w:rPr>
              <w:t>5. Belonging and support</w:t>
            </w:r>
          </w:p>
        </w:tc>
        <w:tc>
          <w:tcPr>
            <w:tcW w:type="dxa" w:w="864"/>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6</w:t>
            </w:r>
          </w:p>
        </w:tc>
        <w:tc>
          <w:tcPr>
            <w:tcW w:type="dxa" w:w="6192"/>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Three belonging-uncertainty items (Walton and Cohen, 2007), someone to turn to, first move when struggling, how asking for help feels.</w:t>
            </w:r>
          </w:p>
        </w:tc>
      </w:tr>
      <w:tr>
        <w:tc>
          <w:tcPr>
            <w:tcW w:type="dxa" w:w="2304"/>
            <w:shd w:val="clear" w:color="auto" w:fill="EBF5FB"/>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i w:val="0"/>
                <w:caps w:val="0"/>
                <w:color w:val="1A252F"/>
                <w:sz w:val="19"/>
              </w:rPr>
              <w:t>6. Wellbeing</w:t>
            </w:r>
          </w:p>
        </w:tc>
        <w:tc>
          <w:tcPr>
            <w:tcW w:type="dxa" w:w="864"/>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5</w:t>
            </w:r>
          </w:p>
        </w:tc>
        <w:tc>
          <w:tcPr>
            <w:tcW w:type="dxa" w:w="6192"/>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WHO-5, verbatim, with WHO's attribution.</w:t>
            </w:r>
          </w:p>
        </w:tc>
      </w:tr>
      <w:tr>
        <w:tc>
          <w:tcPr>
            <w:tcW w:type="dxa" w:w="2304"/>
            <w:shd w:val="clear" w:color="auto" w:fill="EBF5FB"/>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i w:val="0"/>
                <w:caps w:val="0"/>
                <w:color w:val="1A252F"/>
                <w:sz w:val="19"/>
              </w:rPr>
              <w:t>7. What would help</w:t>
            </w:r>
          </w:p>
        </w:tc>
        <w:tc>
          <w:tcPr>
            <w:tcW w:type="dxa" w:w="864"/>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7 or 8</w:t>
            </w:r>
          </w:p>
        </w:tc>
        <w:tc>
          <w:tcPr>
            <w:tcW w:type="dxa" w:w="6192"/>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Strengths, support wanted, voluntary disability or learning-difference disclosure, preferred format, contact method, optional WhatsApp number, two optional free-text answers.</w:t>
            </w:r>
          </w:p>
        </w:tc>
      </w:tr>
    </w:tbl>
    <w:p>
      <w:pPr>
        <w:spacing w:after="40"/>
      </w:pPr>
    </w:p>
    <w:p>
      <w:pPr>
        <w:spacing w:before="400" w:after="120"/>
        <w:pBdr>
          <w:bottom w:val="single" w:sz="8" w:space="6" w:color="1A252F"/>
        </w:pBdr>
      </w:pPr>
      <w:r>
        <w:rPr>
          <w:rFonts w:ascii="Arial" w:hAnsi="Arial" w:cs="Arial"/>
          <w:b/>
          <w:i w:val="0"/>
          <w:caps/>
          <w:color w:val="000000"/>
          <w:sz w:val="32"/>
        </w:rPr>
        <w:t>5. How answers become action</w:t>
      </w:r>
    </w:p>
    <w:p>
      <w:pPr>
        <w:spacing w:before="40" w:after="140"/>
        <w:ind w:left="144"/>
        <w:pBdr>
          <w:left w:val="single" w:sz="18" w:space="7" w:color="1F618D"/>
        </w:pBdr>
      </w:pPr>
      <w:r>
        <w:rPr>
          <w:rFonts w:ascii="Arial" w:hAnsi="Arial" w:cs="Arial"/>
          <w:b/>
          <w:i w:val="0"/>
          <w:caps w:val="0"/>
          <w:color w:val="1A252F"/>
          <w:sz w:val="21"/>
        </w:rPr>
        <w:t>Scoring runs on the server. The browser sends answers only, so nobody can change what staff see by editing a request.</w:t>
      </w:r>
    </w:p>
    <w:p>
      <w:pPr>
        <w:spacing w:before="200" w:after="60"/>
      </w:pPr>
      <w:r>
        <w:rPr>
          <w:rFonts w:ascii="Arial" w:hAnsi="Arial" w:cs="Arial"/>
          <w:b/>
          <w:i w:val="0"/>
          <w:caps/>
          <w:color w:val="1F618D"/>
          <w:sz w:val="21"/>
        </w:rPr>
        <w:t>Six indices, 0 to 100</w:t>
      </w:r>
    </w:p>
    <w:p>
      <w:pPr>
        <w:spacing w:after="140"/>
      </w:pPr>
      <w:r>
        <w:rPr>
          <w:rFonts w:ascii="Arial" w:hAnsi="Arial" w:cs="Arial"/>
          <w:b w:val="0"/>
          <w:i w:val="0"/>
          <w:caps w:val="0"/>
          <w:color w:val="1A252F"/>
          <w:sz w:val="21"/>
        </w:rPr>
        <w:t xml:space="preserve">Study Habits, Confidence, Direction, Belonging and Help Seeking are each the mean of their items, rescaled. </w:t>
      </w:r>
      <w:r>
        <w:rPr>
          <w:rFonts w:ascii="Arial" w:hAnsi="Arial" w:cs="Arial"/>
          <w:b/>
          <w:i w:val="0"/>
          <w:caps w:val="0"/>
          <w:color w:val="1A252F"/>
          <w:sz w:val="21"/>
        </w:rPr>
        <w:t>Engagement</w:t>
      </w:r>
      <w:r>
        <w:rPr>
          <w:rFonts w:ascii="Arial" w:hAnsi="Arial" w:cs="Arial"/>
          <w:b w:val="0"/>
          <w:i w:val="0"/>
          <w:caps w:val="0"/>
          <w:color w:val="1A252F"/>
          <w:sz w:val="21"/>
        </w:rPr>
        <w:t xml:space="preserve"> is the mean of those five and is the number for Compass Weekly. </w:t>
      </w:r>
      <w:r>
        <w:rPr>
          <w:rFonts w:ascii="Arial" w:hAnsi="Arial" w:cs="Arial"/>
          <w:b/>
          <w:i w:val="0"/>
          <w:caps w:val="0"/>
          <w:color w:val="1A252F"/>
          <w:sz w:val="21"/>
        </w:rPr>
        <w:t>Wellbeing</w:t>
      </w:r>
      <w:r>
        <w:rPr>
          <w:rFonts w:ascii="Arial" w:hAnsi="Arial" w:cs="Arial"/>
          <w:b w:val="0"/>
          <w:i w:val="0"/>
          <w:caps w:val="0"/>
          <w:color w:val="1A252F"/>
          <w:sz w:val="21"/>
        </w:rPr>
        <w:t xml:space="preserve"> is the standard WHO-5 percentage. An index is left blank, never guessed, when fewer than half its items were answered.</w:t>
      </w:r>
    </w:p>
    <w:p>
      <w:pPr>
        <w:spacing w:before="200" w:after="60"/>
      </w:pPr>
      <w:r>
        <w:rPr>
          <w:rFonts w:ascii="Arial" w:hAnsi="Arial" w:cs="Arial"/>
          <w:b/>
          <w:i w:val="0"/>
          <w:caps/>
          <w:color w:val="1F618D"/>
          <w:sz w:val="21"/>
        </w:rPr>
        <w:t>Flags staff can read</w:t>
      </w:r>
    </w:p>
    <w:p>
      <w:pPr>
        <w:spacing w:after="140"/>
      </w:pPr>
      <w:r>
        <w:rPr>
          <w:rFonts w:ascii="Arial" w:hAnsi="Arial" w:cs="Arial"/>
          <w:b w:val="0"/>
          <w:i w:val="0"/>
          <w:caps w:val="0"/>
          <w:color w:val="1A252F"/>
          <w:sz w:val="21"/>
        </w:rPr>
        <w:t>Each flag is written in the sheet as a code and explained in plain English in the codebook tab. The welfare flags are: wellbeing low or urgent, money, access, load (more than 20 hours of work or caring), connection, and help-avoidant. Skills flags cover writing, reading, numbers, speaking, research, study strategies and time. Context flags cover transition, learning support and continuing students who never knew Student Success existed. A brand-new student with nobody to turn to 'yet' is not flagged in week one.</w:t>
      </w:r>
    </w:p>
    <w:p>
      <w:pPr>
        <w:spacing w:before="200" w:after="60"/>
      </w:pPr>
      <w:r>
        <w:rPr>
          <w:rFonts w:ascii="Arial" w:hAnsi="Arial" w:cs="Arial"/>
          <w:b/>
          <w:i w:val="0"/>
          <w:caps/>
          <w:color w:val="1F618D"/>
          <w:sz w:val="21"/>
        </w:rPr>
        <w:t>Outreach tiers</w:t>
      </w:r>
    </w:p>
    <w:tbl>
      <w:tblPr>
        <w:tblW w:type="auto" w:w="0"/>
        <w:jc w:val="center"/>
        <w:tblLook w:firstColumn="1" w:firstRow="1" w:lastColumn="0" w:lastRow="0" w:noHBand="0" w:noVBand="1" w:val="04A0"/>
      </w:tblPr>
      <w:tblGrid>
        <w:gridCol w:w="2232"/>
        <w:gridCol w:w="4320"/>
        <w:gridCol w:w="2808"/>
      </w:tblGrid>
      <w:tr>
        <w:tc>
          <w:tcPr>
            <w:tcW w:type="dxa" w:w="2232"/>
            <w:shd w:val="clear" w:color="auto" w:fill="1A252F"/>
            <w:tcMar>
              <w:top w:w="80" w:type="dxa"/>
              <w:start w:w="120" w:type="dxa"/>
              <w:bottom w:w="80" w:type="dxa"/>
              <w:end w:w="120" w:type="dxa"/>
            </w:tcMar>
            <w:tcBorders>
              <w:top w:val="single" w:sz="6" w:space="0" w:color="1A252F"/>
              <w:left w:val="single" w:sz="6" w:space="0" w:color="1A252F"/>
              <w:bottom w:val="single" w:sz="6" w:space="0" w:color="1A252F"/>
              <w:right w:val="single" w:sz="6" w:space="0" w:color="1A252F"/>
            </w:tcBorders>
          </w:tcPr>
          <w:p>
            <w:pPr>
              <w:spacing w:after="0"/>
            </w:pPr>
            <w:r>
              <w:rPr>
                <w:rFonts w:ascii="Arial" w:hAnsi="Arial" w:cs="Arial"/>
                <w:b/>
                <w:i w:val="0"/>
                <w:caps w:val="0"/>
                <w:color w:val="FFFFFF"/>
                <w:sz w:val="19"/>
              </w:rPr>
              <w:t>Tier</w:t>
            </w:r>
          </w:p>
        </w:tc>
        <w:tc>
          <w:tcPr>
            <w:tcW w:type="dxa" w:w="4320"/>
            <w:shd w:val="clear" w:color="auto" w:fill="1A252F"/>
            <w:tcMar>
              <w:top w:w="80" w:type="dxa"/>
              <w:start w:w="120" w:type="dxa"/>
              <w:bottom w:w="80" w:type="dxa"/>
              <w:end w:w="120" w:type="dxa"/>
            </w:tcMar>
            <w:tcBorders>
              <w:top w:val="single" w:sz="6" w:space="0" w:color="1A252F"/>
              <w:left w:val="single" w:sz="6" w:space="0" w:color="1A252F"/>
              <w:bottom w:val="single" w:sz="6" w:space="0" w:color="1A252F"/>
              <w:right w:val="single" w:sz="6" w:space="0" w:color="1A252F"/>
            </w:tcBorders>
          </w:tcPr>
          <w:p>
            <w:pPr>
              <w:spacing w:after="0"/>
            </w:pPr>
            <w:r>
              <w:rPr>
                <w:rFonts w:ascii="Arial" w:hAnsi="Arial" w:cs="Arial"/>
                <w:b/>
                <w:i w:val="0"/>
                <w:caps w:val="0"/>
                <w:color w:val="FFFFFF"/>
                <w:sz w:val="19"/>
              </w:rPr>
              <w:t>Rule</w:t>
            </w:r>
          </w:p>
        </w:tc>
        <w:tc>
          <w:tcPr>
            <w:tcW w:type="dxa" w:w="2808"/>
            <w:shd w:val="clear" w:color="auto" w:fill="1A252F"/>
            <w:tcMar>
              <w:top w:w="80" w:type="dxa"/>
              <w:start w:w="120" w:type="dxa"/>
              <w:bottom w:w="80" w:type="dxa"/>
              <w:end w:w="120" w:type="dxa"/>
            </w:tcMar>
            <w:tcBorders>
              <w:top w:val="single" w:sz="6" w:space="0" w:color="1A252F"/>
              <w:left w:val="single" w:sz="6" w:space="0" w:color="1A252F"/>
              <w:bottom w:val="single" w:sz="6" w:space="0" w:color="1A252F"/>
              <w:right w:val="single" w:sz="6" w:space="0" w:color="1A252F"/>
            </w:tcBorders>
          </w:tcPr>
          <w:p>
            <w:pPr>
              <w:spacing w:after="0"/>
            </w:pPr>
            <w:r>
              <w:rPr>
                <w:rFonts w:ascii="Arial" w:hAnsi="Arial" w:cs="Arial"/>
                <w:b/>
                <w:i w:val="0"/>
                <w:caps w:val="0"/>
                <w:color w:val="FFFFFF"/>
                <w:sz w:val="19"/>
              </w:rPr>
              <w:t>Letter tells the student</w:t>
            </w:r>
          </w:p>
        </w:tc>
      </w:tr>
      <w:tr>
        <w:tc>
          <w:tcPr>
            <w:tcW w:type="dxa" w:w="2232"/>
            <w:shd w:val="clear" w:color="auto" w:fill="EBF5FB"/>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i w:val="0"/>
                <w:caps w:val="0"/>
                <w:color w:val="1A252F"/>
                <w:sz w:val="19"/>
              </w:rPr>
              <w:t>1  Within 2 working days</w:t>
            </w:r>
          </w:p>
        </w:tc>
        <w:tc>
          <w:tcPr>
            <w:tcW w:type="dxa" w:w="4320"/>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WHO-5 of 28 or below; or help-avoidant together with low wellbeing, money worries or no connection; or three or more welfare flags.</w:t>
            </w:r>
          </w:p>
        </w:tc>
        <w:tc>
          <w:tcPr>
            <w:tcW w:type="dxa" w:w="2808"/>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Someone will check in within two working days.</w:t>
            </w:r>
          </w:p>
        </w:tc>
      </w:tr>
      <w:tr>
        <w:tc>
          <w:tcPr>
            <w:tcW w:type="dxa" w:w="2232"/>
            <w:shd w:val="clear" w:color="auto" w:fill="EBF5FB"/>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i w:val="0"/>
                <w:caps w:val="0"/>
                <w:color w:val="1A252F"/>
                <w:sz w:val="19"/>
              </w:rPr>
              <w:t>2  Within 2 weeks</w:t>
            </w:r>
          </w:p>
        </w:tc>
        <w:tc>
          <w:tcPr>
            <w:tcW w:type="dxa" w:w="4320"/>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Any welfare flag, a learning-support request, any support the student asked for, or two or more skills flags.</w:t>
            </w:r>
          </w:p>
        </w:tc>
        <w:tc>
          <w:tcPr>
            <w:tcW w:type="dxa" w:w="2808"/>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Someone will be in touch within two weeks, unless the student said they would rather reach out themselves.</w:t>
            </w:r>
          </w:p>
        </w:tc>
      </w:tr>
      <w:tr>
        <w:tc>
          <w:tcPr>
            <w:tcW w:type="dxa" w:w="2232"/>
            <w:shd w:val="clear" w:color="auto" w:fill="EBF5FB"/>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i w:val="0"/>
                <w:caps w:val="0"/>
                <w:color w:val="1A252F"/>
                <w:sz w:val="19"/>
              </w:rPr>
              <w:t>3  Welcome only</w:t>
            </w:r>
          </w:p>
        </w:tc>
        <w:tc>
          <w:tcPr>
            <w:tcW w:type="dxa" w:w="4320"/>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Everything else.</w:t>
            </w:r>
          </w:p>
        </w:tc>
        <w:tc>
          <w:tcPr>
            <w:tcW w:type="dxa" w:w="2808"/>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Nothing else to do; workshop details will come by email.</w:t>
            </w:r>
          </w:p>
        </w:tc>
      </w:tr>
    </w:tbl>
    <w:p>
      <w:pPr>
        <w:spacing w:after="40"/>
      </w:pPr>
    </w:p>
    <w:p>
      <w:pPr>
        <w:spacing w:after="140"/>
      </w:pPr>
      <w:r>
        <w:rPr>
          <w:rFonts w:ascii="Arial" w:hAnsi="Arial" w:cs="Arial"/>
          <w:b w:val="0"/>
          <w:i w:val="0"/>
          <w:caps w:val="0"/>
          <w:color w:val="1A252F"/>
          <w:sz w:val="21"/>
        </w:rPr>
        <w:t xml:space="preserve">Two quality checks mark rows to treat with care: </w:t>
      </w:r>
      <w:r>
        <w:rPr>
          <w:rFonts w:ascii="Arial" w:hAnsi="Arial" w:cs="Arial"/>
          <w:b/>
          <w:i w:val="0"/>
          <w:caps w:val="0"/>
          <w:color w:val="1A252F"/>
          <w:sz w:val="21"/>
        </w:rPr>
        <w:t>fast</w:t>
      </w:r>
      <w:r>
        <w:rPr>
          <w:rFonts w:ascii="Arial" w:hAnsi="Arial" w:cs="Arial"/>
          <w:b w:val="0"/>
          <w:i w:val="0"/>
          <w:caps w:val="0"/>
          <w:color w:val="1A252F"/>
          <w:sz w:val="21"/>
        </w:rPr>
        <w:t xml:space="preserve"> (under 150 seconds) and </w:t>
      </w:r>
      <w:r>
        <w:rPr>
          <w:rFonts w:ascii="Arial" w:hAnsi="Arial" w:cs="Arial"/>
          <w:b/>
          <w:i w:val="0"/>
          <w:caps w:val="0"/>
          <w:color w:val="1A252F"/>
          <w:sz w:val="21"/>
        </w:rPr>
        <w:t>straightline</w:t>
      </w:r>
      <w:r>
        <w:rPr>
          <w:rFonts w:ascii="Arial" w:hAnsi="Arial" w:cs="Arial"/>
          <w:b w:val="0"/>
          <w:i w:val="0"/>
          <w:caps w:val="0"/>
          <w:color w:val="1A252F"/>
          <w:sz w:val="21"/>
        </w:rPr>
        <w:t xml:space="preserve"> (identical answers through whole sections, including a reverse-worded item).</w:t>
      </w:r>
    </w:p>
    <w:p>
      <w:pPr>
        <w:spacing w:before="400" w:after="120"/>
        <w:pBdr>
          <w:bottom w:val="single" w:sz="8" w:space="6" w:color="1A252F"/>
        </w:pBdr>
      </w:pPr>
      <w:r>
        <w:rPr>
          <w:rFonts w:ascii="Arial" w:hAnsi="Arial" w:cs="Arial"/>
          <w:b/>
          <w:i w:val="0"/>
          <w:caps/>
          <w:color w:val="000000"/>
          <w:sz w:val="32"/>
        </w:rPr>
        <w:t>6. What students receive</w:t>
      </w:r>
    </w:p>
    <w:p>
      <w:pPr>
        <w:spacing w:before="40" w:after="140"/>
        <w:ind w:left="144"/>
        <w:pBdr>
          <w:left w:val="single" w:sz="18" w:space="7" w:color="1F618D"/>
        </w:pBdr>
      </w:pPr>
      <w:r>
        <w:rPr>
          <w:rFonts w:ascii="Arial" w:hAnsi="Arial" w:cs="Arial"/>
          <w:b/>
          <w:i w:val="0"/>
          <w:caps w:val="0"/>
          <w:color w:val="1A252F"/>
          <w:sz w:val="21"/>
        </w:rPr>
        <w:t>A dated letter from Student Success, not a dashboard. No scores, no colours, no rankings.</w:t>
      </w:r>
    </w:p>
    <w:p>
      <w:pPr>
        <w:spacing w:after="60"/>
        <w:ind w:left="403" w:hanging="230"/>
      </w:pPr>
      <w:r>
        <w:rPr>
          <w:rFonts w:ascii="Arial" w:hAnsi="Arial" w:cs="Arial"/>
          <w:b/>
          <w:i w:val="0"/>
          <w:caps w:val="0"/>
          <w:color w:val="1F618D"/>
          <w:sz w:val="21"/>
        </w:rPr>
        <w:t xml:space="preserve">•  </w:t>
      </w:r>
      <w:r>
        <w:rPr>
          <w:rFonts w:ascii="Arial" w:hAnsi="Arial" w:cs="Arial"/>
          <w:b/>
          <w:i w:val="0"/>
          <w:caps w:val="0"/>
          <w:color w:val="1A252F"/>
          <w:sz w:val="21"/>
        </w:rPr>
        <w:t>Strengths first,</w:t>
      </w:r>
      <w:r>
        <w:rPr>
          <w:rFonts w:ascii="Arial" w:hAnsi="Arial" w:cs="Arial"/>
          <w:b w:val="0"/>
          <w:i w:val="0"/>
          <w:caps w:val="0"/>
          <w:color w:val="1A252F"/>
          <w:sz w:val="21"/>
        </w:rPr>
        <w:t xml:space="preserve"> in the student's own words.</w:t>
      </w:r>
    </w:p>
    <w:p>
      <w:pPr>
        <w:spacing w:after="60"/>
        <w:ind w:left="403" w:hanging="230"/>
      </w:pPr>
      <w:r>
        <w:rPr>
          <w:rFonts w:ascii="Arial" w:hAnsi="Arial" w:cs="Arial"/>
          <w:b/>
          <w:i w:val="0"/>
          <w:caps w:val="0"/>
          <w:color w:val="1F618D"/>
          <w:sz w:val="21"/>
        </w:rPr>
        <w:t xml:space="preserve">•  </w:t>
      </w:r>
      <w:r>
        <w:rPr>
          <w:rFonts w:ascii="Arial" w:hAnsi="Arial" w:cs="Arial"/>
          <w:b/>
          <w:i w:val="0"/>
          <w:caps w:val="0"/>
          <w:color w:val="1A252F"/>
          <w:sz w:val="21"/>
        </w:rPr>
        <w:t>Three or four next steps,</w:t>
      </w:r>
      <w:r>
        <w:rPr>
          <w:rFonts w:ascii="Arial" w:hAnsi="Arial" w:cs="Arial"/>
          <w:b w:val="0"/>
          <w:i w:val="0"/>
          <w:caps w:val="0"/>
          <w:color w:val="1A252F"/>
          <w:sz w:val="21"/>
        </w:rPr>
        <w:t xml:space="preserve"> each a real ALCHE offer with how to take it: office hours, peer recap, Studenting 101, Adulting 101, Writing Support and Naissance, Library research mentorship, Student Professional Development. Wellbeing, learning support, money and access come first when they apply. When two or more of the last three apply, they become one 'use your check-in to talk about it' step.</w:t>
      </w:r>
    </w:p>
    <w:p>
      <w:pPr>
        <w:spacing w:after="60"/>
        <w:ind w:left="403" w:hanging="230"/>
      </w:pPr>
      <w:r>
        <w:rPr>
          <w:rFonts w:ascii="Arial" w:hAnsi="Arial" w:cs="Arial"/>
          <w:b/>
          <w:i w:val="0"/>
          <w:caps w:val="0"/>
          <w:color w:val="1F618D"/>
          <w:sz w:val="21"/>
        </w:rPr>
        <w:t xml:space="preserve">•  </w:t>
      </w:r>
      <w:r>
        <w:rPr>
          <w:rFonts w:ascii="Arial" w:hAnsi="Arial" w:cs="Arial"/>
          <w:b/>
          <w:i w:val="0"/>
          <w:caps w:val="0"/>
          <w:color w:val="1A252F"/>
          <w:sz w:val="21"/>
        </w:rPr>
        <w:t>Where you are starting:</w:t>
      </w:r>
      <w:r>
        <w:rPr>
          <w:rFonts w:ascii="Arial" w:hAnsi="Arial" w:cs="Arial"/>
          <w:b w:val="0"/>
          <w:i w:val="0"/>
          <w:caps w:val="0"/>
          <w:color w:val="1A252F"/>
          <w:sz w:val="21"/>
        </w:rPr>
        <w:t xml:space="preserve"> five areas described in words. When three or more are low, the table is replaced by one kind paragraph, so a struggling student never reads five negatives in a row.</w:t>
      </w:r>
    </w:p>
    <w:p>
      <w:pPr>
        <w:spacing w:after="60"/>
        <w:ind w:left="403" w:hanging="230"/>
      </w:pPr>
      <w:r>
        <w:rPr>
          <w:rFonts w:ascii="Arial" w:hAnsi="Arial" w:cs="Arial"/>
          <w:b/>
          <w:i w:val="0"/>
          <w:caps w:val="0"/>
          <w:color w:val="1F618D"/>
          <w:sz w:val="21"/>
        </w:rPr>
        <w:t xml:space="preserve">•  </w:t>
      </w:r>
      <w:r>
        <w:rPr>
          <w:rFonts w:ascii="Arial" w:hAnsi="Arial" w:cs="Arial"/>
          <w:b/>
          <w:i w:val="0"/>
          <w:caps w:val="0"/>
          <w:color w:val="1A252F"/>
          <w:sz w:val="21"/>
        </w:rPr>
        <w:t>A settling-in message</w:t>
      </w:r>
      <w:r>
        <w:rPr>
          <w:rFonts w:ascii="Arial" w:hAnsi="Arial" w:cs="Arial"/>
          <w:b w:val="0"/>
          <w:i w:val="0"/>
          <w:caps w:val="0"/>
          <w:color w:val="1A252F"/>
          <w:sz w:val="21"/>
        </w:rPr>
        <w:t xml:space="preserve"> for new students, and a hard-term message for continuing ones, drawn from the belonging research.</w:t>
      </w:r>
    </w:p>
    <w:p>
      <w:pPr>
        <w:spacing w:after="60"/>
        <w:ind w:left="403" w:hanging="230"/>
      </w:pPr>
      <w:r>
        <w:rPr>
          <w:rFonts w:ascii="Arial" w:hAnsi="Arial" w:cs="Arial"/>
          <w:b/>
          <w:i w:val="0"/>
          <w:caps w:val="0"/>
          <w:color w:val="1F618D"/>
          <w:sz w:val="21"/>
        </w:rPr>
        <w:t xml:space="preserve">•  </w:t>
      </w:r>
      <w:r>
        <w:rPr>
          <w:rFonts w:ascii="Arial" w:hAnsi="Arial" w:cs="Arial"/>
          <w:b/>
          <w:i w:val="0"/>
          <w:caps w:val="0"/>
          <w:color w:val="1A252F"/>
          <w:sz w:val="21"/>
        </w:rPr>
        <w:t>Help now:</w:t>
      </w:r>
      <w:r>
        <w:rPr>
          <w:rFonts w:ascii="Arial" w:hAnsi="Arial" w:cs="Arial"/>
          <w:b w:val="0"/>
          <w:i w:val="0"/>
          <w:caps w:val="0"/>
          <w:color w:val="1A252F"/>
          <w:sz w:val="21"/>
        </w:rPr>
        <w:t xml:space="preserve"> Befrienders Mauritius (800 9393, WhatsApp +230 5483 7233), 114 and 999, and Find A Helpline for students outside Mauritius. Shown prominently when WHO-5 is below 50, quietly otherwise.</w:t>
      </w:r>
    </w:p>
    <w:p>
      <w:pPr>
        <w:spacing w:after="60"/>
        <w:ind w:left="403" w:hanging="230"/>
      </w:pPr>
      <w:r>
        <w:rPr>
          <w:rFonts w:ascii="Arial" w:hAnsi="Arial" w:cs="Arial"/>
          <w:b/>
          <w:i w:val="0"/>
          <w:caps w:val="0"/>
          <w:color w:val="1F618D"/>
          <w:sz w:val="21"/>
        </w:rPr>
        <w:t xml:space="preserve">•  </w:t>
      </w:r>
      <w:r>
        <w:rPr>
          <w:rFonts w:ascii="Arial" w:hAnsi="Arial" w:cs="Arial"/>
          <w:b/>
          <w:i w:val="0"/>
          <w:caps w:val="0"/>
          <w:color w:val="1A252F"/>
          <w:sz w:val="21"/>
        </w:rPr>
        <w:t>What happens next,</w:t>
      </w:r>
      <w:r>
        <w:rPr>
          <w:rFonts w:ascii="Arial" w:hAnsi="Arial" w:cs="Arial"/>
          <w:b w:val="0"/>
          <w:i w:val="0"/>
          <w:caps w:val="0"/>
          <w:color w:val="1A252F"/>
          <w:sz w:val="21"/>
        </w:rPr>
        <w:t xml:space="preserve"> matched to the tier and the student's contact preference, and how to see, correct or delete their data.</w:t>
      </w:r>
    </w:p>
    <w:p>
      <w:pPr>
        <w:spacing w:after="140"/>
      </w:pPr>
      <w:r>
        <w:rPr>
          <w:rFonts w:ascii="Arial" w:hAnsi="Arial" w:cs="Arial"/>
          <w:b w:val="0"/>
          <w:i w:val="0"/>
          <w:caps w:val="0"/>
          <w:color w:val="1A252F"/>
          <w:sz w:val="21"/>
        </w:rPr>
        <w:t>The letter prints cleanly to A4 or saves as PDF. It stays in the browser tab until the student presses Finish.</w:t>
      </w:r>
    </w:p>
    <w:p>
      <w:pPr>
        <w:spacing w:before="400" w:after="120"/>
        <w:pBdr>
          <w:bottom w:val="single" w:sz="8" w:space="6" w:color="1A252F"/>
        </w:pBdr>
      </w:pPr>
      <w:r>
        <w:rPr>
          <w:rFonts w:ascii="Arial" w:hAnsi="Arial" w:cs="Arial"/>
          <w:b/>
          <w:i w:val="0"/>
          <w:caps/>
          <w:color w:val="000000"/>
          <w:sz w:val="32"/>
        </w:rPr>
        <w:t>7. Privacy, ethics and security</w:t>
      </w:r>
    </w:p>
    <w:p>
      <w:pPr>
        <w:spacing w:before="40" w:after="140"/>
        <w:ind w:left="144"/>
        <w:pBdr>
          <w:left w:val="single" w:sz="18" w:space="7" w:color="1F618D"/>
        </w:pBdr>
      </w:pPr>
      <w:r>
        <w:rPr>
          <w:rFonts w:ascii="Arial" w:hAnsi="Arial" w:cs="Arial"/>
          <w:b/>
          <w:i w:val="0"/>
          <w:caps w:val="0"/>
          <w:color w:val="1A252F"/>
          <w:sz w:val="21"/>
        </w:rPr>
        <w:t>Wellbeing and health answers are special-category data under the Mauritius Data Protection Act 2017. Version 2 asks for explicit consent first and lets students skip any question.</w:t>
      </w:r>
    </w:p>
    <w:tbl>
      <w:tblPr>
        <w:tblW w:type="auto" w:w="0"/>
        <w:jc w:val="center"/>
        <w:tblLook w:firstColumn="1" w:firstRow="1" w:lastColumn="0" w:lastRow="0" w:noHBand="0" w:noVBand="1" w:val="04A0"/>
      </w:tblPr>
      <w:tblGrid>
        <w:gridCol w:w="1944"/>
        <w:gridCol w:w="3384"/>
        <w:gridCol w:w="4032"/>
      </w:tblGrid>
      <w:tr>
        <w:tc>
          <w:tcPr>
            <w:tcW w:type="dxa" w:w="1944"/>
            <w:shd w:val="clear" w:color="auto" w:fill="1A252F"/>
            <w:tcMar>
              <w:top w:w="80" w:type="dxa"/>
              <w:start w:w="120" w:type="dxa"/>
              <w:bottom w:w="80" w:type="dxa"/>
              <w:end w:w="120" w:type="dxa"/>
            </w:tcMar>
            <w:tcBorders>
              <w:top w:val="single" w:sz="6" w:space="0" w:color="1A252F"/>
              <w:left w:val="single" w:sz="6" w:space="0" w:color="1A252F"/>
              <w:bottom w:val="single" w:sz="6" w:space="0" w:color="1A252F"/>
              <w:right w:val="single" w:sz="6" w:space="0" w:color="1A252F"/>
            </w:tcBorders>
          </w:tcPr>
          <w:p>
            <w:pPr>
              <w:spacing w:after="0"/>
            </w:pPr>
            <w:r>
              <w:rPr>
                <w:rFonts w:ascii="Arial" w:hAnsi="Arial" w:cs="Arial"/>
                <w:b/>
                <w:i w:val="0"/>
                <w:caps w:val="0"/>
                <w:color w:val="FFFFFF"/>
                <w:sz w:val="19"/>
              </w:rPr>
              <w:t>Area</w:t>
            </w:r>
          </w:p>
        </w:tc>
        <w:tc>
          <w:tcPr>
            <w:tcW w:type="dxa" w:w="3384"/>
            <w:shd w:val="clear" w:color="auto" w:fill="1A252F"/>
            <w:tcMar>
              <w:top w:w="80" w:type="dxa"/>
              <w:start w:w="120" w:type="dxa"/>
              <w:bottom w:w="80" w:type="dxa"/>
              <w:end w:w="120" w:type="dxa"/>
            </w:tcMar>
            <w:tcBorders>
              <w:top w:val="single" w:sz="6" w:space="0" w:color="1A252F"/>
              <w:left w:val="single" w:sz="6" w:space="0" w:color="1A252F"/>
              <w:bottom w:val="single" w:sz="6" w:space="0" w:color="1A252F"/>
              <w:right w:val="single" w:sz="6" w:space="0" w:color="1A252F"/>
            </w:tcBorders>
          </w:tcPr>
          <w:p>
            <w:pPr>
              <w:spacing w:after="0"/>
            </w:pPr>
            <w:r>
              <w:rPr>
                <w:rFonts w:ascii="Arial" w:hAnsi="Arial" w:cs="Arial"/>
                <w:b/>
                <w:i w:val="0"/>
                <w:caps w:val="0"/>
                <w:color w:val="FFFFFF"/>
                <w:sz w:val="19"/>
              </w:rPr>
              <w:t>Version 1</w:t>
            </w:r>
          </w:p>
        </w:tc>
        <w:tc>
          <w:tcPr>
            <w:tcW w:type="dxa" w:w="4032"/>
            <w:shd w:val="clear" w:color="auto" w:fill="1A252F"/>
            <w:tcMar>
              <w:top w:w="80" w:type="dxa"/>
              <w:start w:w="120" w:type="dxa"/>
              <w:bottom w:w="80" w:type="dxa"/>
              <w:end w:w="120" w:type="dxa"/>
            </w:tcMar>
            <w:tcBorders>
              <w:top w:val="single" w:sz="6" w:space="0" w:color="1A252F"/>
              <w:left w:val="single" w:sz="6" w:space="0" w:color="1A252F"/>
              <w:bottom w:val="single" w:sz="6" w:space="0" w:color="1A252F"/>
              <w:right w:val="single" w:sz="6" w:space="0" w:color="1A252F"/>
            </w:tcBorders>
          </w:tcPr>
          <w:p>
            <w:pPr>
              <w:spacing w:after="0"/>
            </w:pPr>
            <w:r>
              <w:rPr>
                <w:rFonts w:ascii="Arial" w:hAnsi="Arial" w:cs="Arial"/>
                <w:b/>
                <w:i w:val="0"/>
                <w:caps w:val="0"/>
                <w:color w:val="FFFFFF"/>
                <w:sz w:val="19"/>
              </w:rPr>
              <w:t>Version 2</w:t>
            </w:r>
          </w:p>
        </w:tc>
      </w:tr>
      <w:tr>
        <w:tc>
          <w:tcPr>
            <w:tcW w:type="dxa" w:w="1944"/>
            <w:shd w:val="clear" w:color="auto" w:fill="EBF5FB"/>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i w:val="0"/>
                <w:caps w:val="0"/>
                <w:color w:val="1A252F"/>
                <w:sz w:val="19"/>
              </w:rPr>
              <w:t>Consent</w:t>
            </w:r>
          </w:p>
        </w:tc>
        <w:tc>
          <w:tcPr>
            <w:tcW w:type="dxa" w:w="3384"/>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Told students afterwards that answers had gone to the team.</w:t>
            </w:r>
          </w:p>
        </w:tc>
        <w:tc>
          <w:tcPr>
            <w:tcW w:type="dxa" w:w="4032"/>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Consent screen before any question; full privacy notice; versioned consent recorded on each row.</w:t>
            </w:r>
          </w:p>
        </w:tc>
      </w:tr>
      <w:tr>
        <w:tc>
          <w:tcPr>
            <w:tcW w:type="dxa" w:w="1944"/>
            <w:shd w:val="clear" w:color="auto" w:fill="EBF5FB"/>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i w:val="0"/>
                <w:caps w:val="0"/>
                <w:color w:val="1A252F"/>
                <w:sz w:val="19"/>
              </w:rPr>
              <w:t>Scoring</w:t>
            </w:r>
          </w:p>
        </w:tc>
        <w:tc>
          <w:tcPr>
            <w:tcW w:type="dxa" w:w="3384"/>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Calculated in the browser and trusted by the server.</w:t>
            </w:r>
          </w:p>
        </w:tc>
        <w:tc>
          <w:tcPr>
            <w:tcW w:type="dxa" w:w="4032"/>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Recalculated on the server from validated answers; every value checked against the question bank.</w:t>
            </w:r>
          </w:p>
        </w:tc>
      </w:tr>
      <w:tr>
        <w:tc>
          <w:tcPr>
            <w:tcW w:type="dxa" w:w="1944"/>
            <w:shd w:val="clear" w:color="auto" w:fill="EBF5FB"/>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i w:val="0"/>
                <w:caps w:val="0"/>
                <w:color w:val="1A252F"/>
                <w:sz w:val="19"/>
              </w:rPr>
              <w:t>Admin access</w:t>
            </w:r>
          </w:p>
        </w:tc>
        <w:tc>
          <w:tcPr>
            <w:tcW w:type="dxa" w:w="3384"/>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Key in the URL (?key=), so in browser history and server logs; plain string comparison.</w:t>
            </w:r>
          </w:p>
        </w:tc>
        <w:tc>
          <w:tcPr>
            <w:tcW w:type="dxa" w:w="4032"/>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Password form; constant-time check; signed HttpOnly SameSite=Strict session for 8 hours; sign-in rate limit.</w:t>
            </w:r>
          </w:p>
        </w:tc>
      </w:tr>
      <w:tr>
        <w:tc>
          <w:tcPr>
            <w:tcW w:type="dxa" w:w="1944"/>
            <w:shd w:val="clear" w:color="auto" w:fill="EBF5FB"/>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i w:val="0"/>
                <w:caps w:val="0"/>
                <w:color w:val="1A252F"/>
                <w:sz w:val="19"/>
              </w:rPr>
              <w:t>Request forgery</w:t>
            </w:r>
          </w:p>
        </w:tc>
        <w:tc>
          <w:tcPr>
            <w:tcW w:type="dxa" w:w="3384"/>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None.</w:t>
            </w:r>
          </w:p>
        </w:tc>
        <w:tc>
          <w:tcPr>
            <w:tcW w:type="dxa" w:w="4032"/>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Cross-site POSTs refused; body size capped; honeypot field; per-IP rate limits sized for a shared campus network.</w:t>
            </w:r>
          </w:p>
        </w:tc>
      </w:tr>
      <w:tr>
        <w:tc>
          <w:tcPr>
            <w:tcW w:type="dxa" w:w="1944"/>
            <w:shd w:val="clear" w:color="auto" w:fill="EBF5FB"/>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i w:val="0"/>
                <w:caps w:val="0"/>
                <w:color w:val="1A252F"/>
                <w:sz w:val="19"/>
              </w:rPr>
              <w:t>Headers</w:t>
            </w:r>
          </w:p>
        </w:tc>
        <w:tc>
          <w:tcPr>
            <w:tcW w:type="dxa" w:w="3384"/>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Framework defaults.</w:t>
            </w:r>
          </w:p>
        </w:tc>
        <w:tc>
          <w:tcPr>
            <w:tcW w:type="dxa" w:w="4032"/>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Per-request nonce Content-Security-Policy, HSTS, no framing, no sniffing, strict referrer and permissions policies.</w:t>
            </w:r>
          </w:p>
        </w:tc>
      </w:tr>
      <w:tr>
        <w:tc>
          <w:tcPr>
            <w:tcW w:type="dxa" w:w="1944"/>
            <w:shd w:val="clear" w:color="auto" w:fill="EBF5FB"/>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i w:val="0"/>
                <w:caps w:val="0"/>
                <w:color w:val="1A252F"/>
                <w:sz w:val="19"/>
              </w:rPr>
              <w:t>Software</w:t>
            </w:r>
          </w:p>
        </w:tc>
        <w:tc>
          <w:tcPr>
            <w:tcW w:type="dxa" w:w="3384"/>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Next.js 14.2.3, which has many published security advisories; the 100 MB googleapis package.</w:t>
            </w:r>
          </w:p>
        </w:tc>
        <w:tc>
          <w:tcPr>
            <w:tcW w:type="dxa" w:w="4032"/>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Next.js 16.4.2 and React 19.3.1; a small Sheets client; no known vulnerabilities in production dependencies at build time.</w:t>
            </w:r>
          </w:p>
        </w:tc>
      </w:tr>
      <w:tr>
        <w:tc>
          <w:tcPr>
            <w:tcW w:type="dxa" w:w="1944"/>
            <w:shd w:val="clear" w:color="auto" w:fill="EBF5FB"/>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i w:val="0"/>
                <w:caps w:val="0"/>
                <w:color w:val="1A252F"/>
                <w:sz w:val="19"/>
              </w:rPr>
              <w:t>Third parties</w:t>
            </w:r>
          </w:p>
        </w:tc>
        <w:tc>
          <w:tcPr>
            <w:tcW w:type="dxa" w:w="3384"/>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Google Fonts loaded from Google on every visit.</w:t>
            </w:r>
          </w:p>
        </w:tc>
        <w:tc>
          <w:tcPr>
            <w:tcW w:type="dxa" w:w="4032"/>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Fonts self-hosted at build time; no trackers or external scripts on any page.</w:t>
            </w:r>
          </w:p>
        </w:tc>
      </w:tr>
      <w:tr>
        <w:tc>
          <w:tcPr>
            <w:tcW w:type="dxa" w:w="1944"/>
            <w:shd w:val="clear" w:color="auto" w:fill="EBF5FB"/>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i w:val="0"/>
                <w:caps w:val="0"/>
                <w:color w:val="1A252F"/>
                <w:sz w:val="19"/>
              </w:rPr>
              <w:t>Spreadsheet safety</w:t>
            </w:r>
          </w:p>
        </w:tc>
        <w:tc>
          <w:tcPr>
            <w:tcW w:type="dxa" w:w="3384"/>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Raw text written as typed.</w:t>
            </w:r>
          </w:p>
        </w:tc>
        <w:tc>
          <w:tcPr>
            <w:tcW w:type="dxa" w:w="4032"/>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Text that a spreadsheet could read as a formula is defused before writing.</w:t>
            </w:r>
          </w:p>
        </w:tc>
      </w:tr>
      <w:tr>
        <w:tc>
          <w:tcPr>
            <w:tcW w:type="dxa" w:w="1944"/>
            <w:shd w:val="clear" w:color="auto" w:fill="EBF5FB"/>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i w:val="0"/>
                <w:caps w:val="0"/>
                <w:color w:val="1A252F"/>
                <w:sz w:val="19"/>
              </w:rPr>
              <w:t>Storage on device</w:t>
            </w:r>
          </w:p>
        </w:tc>
        <w:tc>
          <w:tcPr>
            <w:tcW w:type="dxa" w:w="3384"/>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None; a refresh lost everything.</w:t>
            </w:r>
          </w:p>
        </w:tc>
        <w:tc>
          <w:tcPr>
            <w:tcW w:type="dxa" w:w="4032"/>
            <w:shd w:val="clear" w:color="auto" w:fill="FFFFFF"/>
            <w:tcMar>
              <w:top w:w="80" w:type="dxa"/>
              <w:start w:w="120" w:type="dxa"/>
              <w:bottom w:w="80" w:type="dxa"/>
              <w:end w:w="120" w:type="dxa"/>
            </w:tcMar>
            <w:tcBorders>
              <w:top w:val="single" w:sz="4" w:space="0" w:color="D5DBE1"/>
              <w:left w:val="single" w:sz="4" w:space="0" w:color="D5DBE1"/>
              <w:bottom w:val="single" w:sz="4" w:space="0" w:color="D5DBE1"/>
              <w:right w:val="single" w:sz="4" w:space="0" w:color="D5DBE1"/>
            </w:tcBorders>
          </w:tcPr>
          <w:p>
            <w:pPr>
              <w:spacing w:after="0"/>
            </w:pPr>
            <w:r>
              <w:rPr>
                <w:rFonts w:ascii="Arial" w:hAnsi="Arial" w:cs="Arial"/>
                <w:b w:val="0"/>
                <w:i w:val="0"/>
                <w:caps w:val="0"/>
                <w:color w:val="1A252F"/>
                <w:sz w:val="19"/>
              </w:rPr>
              <w:t>Progress kept in session storage only, cleared when the tab closes, which matters on shared lab computers.</w:t>
            </w:r>
          </w:p>
        </w:tc>
      </w:tr>
    </w:tbl>
    <w:p>
      <w:pPr>
        <w:spacing w:after="40"/>
      </w:pPr>
    </w:p>
    <w:p>
      <w:pPr>
        <w:spacing w:before="400" w:after="120"/>
        <w:pBdr>
          <w:bottom w:val="single" w:sz="8" w:space="6" w:color="1A252F"/>
        </w:pBdr>
      </w:pPr>
      <w:r>
        <w:rPr>
          <w:rFonts w:ascii="Arial" w:hAnsi="Arial" w:cs="Arial"/>
          <w:b/>
          <w:i w:val="0"/>
          <w:caps/>
          <w:color w:val="000000"/>
          <w:sz w:val="32"/>
        </w:rPr>
        <w:t>8. Checking that it works</w:t>
      </w:r>
    </w:p>
    <w:p>
      <w:pPr>
        <w:spacing w:before="40" w:after="140"/>
        <w:ind w:left="144"/>
        <w:pBdr>
          <w:left w:val="single" w:sz="18" w:space="7" w:color="1F618D"/>
        </w:pBdr>
      </w:pPr>
      <w:r>
        <w:rPr>
          <w:rFonts w:ascii="Arial" w:hAnsi="Arial" w:cs="Arial"/>
          <w:b/>
          <w:i w:val="0"/>
          <w:caps w:val="0"/>
          <w:color w:val="1A252F"/>
          <w:sz w:val="21"/>
        </w:rPr>
        <w:t>No new questionnaire is valid on day one. Check it after the first term and change what does not hold up.</w:t>
      </w:r>
    </w:p>
    <w:p>
      <w:pPr>
        <w:spacing w:after="60"/>
        <w:ind w:left="403" w:hanging="230"/>
      </w:pPr>
      <w:r>
        <w:rPr>
          <w:rFonts w:ascii="Arial" w:hAnsi="Arial" w:cs="Arial"/>
          <w:b/>
          <w:i w:val="0"/>
          <w:caps w:val="0"/>
          <w:color w:val="1F618D"/>
          <w:sz w:val="21"/>
        </w:rPr>
        <w:t xml:space="preserve">•  </w:t>
      </w:r>
      <w:r>
        <w:rPr>
          <w:rFonts w:ascii="Arial" w:hAnsi="Arial" w:cs="Arial"/>
          <w:b/>
          <w:i w:val="0"/>
          <w:caps w:val="0"/>
          <w:color w:val="1A252F"/>
          <w:sz w:val="21"/>
        </w:rPr>
        <w:t>Reliability:</w:t>
      </w:r>
      <w:r>
        <w:rPr>
          <w:rFonts w:ascii="Arial" w:hAnsi="Arial" w:cs="Arial"/>
          <w:b w:val="0"/>
          <w:i w:val="0"/>
          <w:caps w:val="0"/>
          <w:color w:val="1A252F"/>
          <w:sz w:val="21"/>
        </w:rPr>
        <w:t xml:space="preserve"> compute Cronbach's alpha for Study Habits, Confidence, Direction and Belonging. Aim for 0.70 or above; drop or rewrite the weakest item where a scale falls short.</w:t>
      </w:r>
    </w:p>
    <w:p>
      <w:pPr>
        <w:spacing w:after="60"/>
        <w:ind w:left="403" w:hanging="230"/>
      </w:pPr>
      <w:r>
        <w:rPr>
          <w:rFonts w:ascii="Arial" w:hAnsi="Arial" w:cs="Arial"/>
          <w:b/>
          <w:i w:val="0"/>
          <w:caps w:val="0"/>
          <w:color w:val="1F618D"/>
          <w:sz w:val="21"/>
        </w:rPr>
        <w:t xml:space="preserve">•  </w:t>
      </w:r>
      <w:r>
        <w:rPr>
          <w:rFonts w:ascii="Arial" w:hAnsi="Arial" w:cs="Arial"/>
          <w:b/>
          <w:i w:val="0"/>
          <w:caps w:val="0"/>
          <w:color w:val="1A252F"/>
          <w:sz w:val="21"/>
        </w:rPr>
        <w:t>Spread:</w:t>
      </w:r>
      <w:r>
        <w:rPr>
          <w:rFonts w:ascii="Arial" w:hAnsi="Arial" w:cs="Arial"/>
          <w:b w:val="0"/>
          <w:i w:val="0"/>
          <w:caps w:val="0"/>
          <w:color w:val="1A252F"/>
          <w:sz w:val="21"/>
        </w:rPr>
        <w:t xml:space="preserve"> look for ceiling effects. If most students score above 80 on an index, the items are too easy to agree with.</w:t>
      </w:r>
    </w:p>
    <w:p>
      <w:pPr>
        <w:spacing w:after="60"/>
        <w:ind w:left="403" w:hanging="230"/>
      </w:pPr>
      <w:r>
        <w:rPr>
          <w:rFonts w:ascii="Arial" w:hAnsi="Arial" w:cs="Arial"/>
          <w:b/>
          <w:i w:val="0"/>
          <w:caps w:val="0"/>
          <w:color w:val="1F618D"/>
          <w:sz w:val="21"/>
        </w:rPr>
        <w:t xml:space="preserve">•  </w:t>
      </w:r>
      <w:r>
        <w:rPr>
          <w:rFonts w:ascii="Arial" w:hAnsi="Arial" w:cs="Arial"/>
          <w:b/>
          <w:i w:val="0"/>
          <w:caps w:val="0"/>
          <w:color w:val="1A252F"/>
          <w:sz w:val="21"/>
        </w:rPr>
        <w:t>Prediction:</w:t>
      </w:r>
      <w:r>
        <w:rPr>
          <w:rFonts w:ascii="Arial" w:hAnsi="Arial" w:cs="Arial"/>
          <w:b w:val="0"/>
          <w:i w:val="0"/>
          <w:caps w:val="0"/>
          <w:color w:val="1A252F"/>
          <w:sz w:val="21"/>
        </w:rPr>
        <w:t xml:space="preserve"> by week 6, compare Engagement and Confidence with Compass Weekly's Canvas-based risk. They should correlate modestly; if they do not, the self-report is not adding information.</w:t>
      </w:r>
    </w:p>
    <w:p>
      <w:pPr>
        <w:spacing w:after="60"/>
        <w:ind w:left="403" w:hanging="230"/>
      </w:pPr>
      <w:r>
        <w:rPr>
          <w:rFonts w:ascii="Arial" w:hAnsi="Arial" w:cs="Arial"/>
          <w:b/>
          <w:i w:val="0"/>
          <w:caps w:val="0"/>
          <w:color w:val="1F618D"/>
          <w:sz w:val="21"/>
        </w:rPr>
        <w:t xml:space="preserve">•  </w:t>
      </w:r>
      <w:r>
        <w:rPr>
          <w:rFonts w:ascii="Arial" w:hAnsi="Arial" w:cs="Arial"/>
          <w:b/>
          <w:i w:val="0"/>
          <w:caps w:val="0"/>
          <w:color w:val="1A252F"/>
          <w:sz w:val="21"/>
        </w:rPr>
        <w:t>Follow-up:</w:t>
      </w:r>
      <w:r>
        <w:rPr>
          <w:rFonts w:ascii="Arial" w:hAnsi="Arial" w:cs="Arial"/>
          <w:b w:val="0"/>
          <w:i w:val="0"/>
          <w:caps w:val="0"/>
          <w:color w:val="1A252F"/>
          <w:sz w:val="21"/>
        </w:rPr>
        <w:t xml:space="preserve"> record how many Tier 1 students were contacted within two working days. If the team cannot keep that promise, change the promise in the letter.</w:t>
      </w:r>
    </w:p>
    <w:p>
      <w:pPr>
        <w:spacing w:after="60"/>
        <w:ind w:left="403" w:hanging="230"/>
      </w:pPr>
      <w:r>
        <w:rPr>
          <w:rFonts w:ascii="Arial" w:hAnsi="Arial" w:cs="Arial"/>
          <w:b/>
          <w:i w:val="0"/>
          <w:caps w:val="0"/>
          <w:color w:val="1F618D"/>
          <w:sz w:val="21"/>
        </w:rPr>
        <w:t xml:space="preserve">•  </w:t>
      </w:r>
      <w:r>
        <w:rPr>
          <w:rFonts w:ascii="Arial" w:hAnsi="Arial" w:cs="Arial"/>
          <w:b/>
          <w:i w:val="0"/>
          <w:caps w:val="0"/>
          <w:color w:val="1A252F"/>
          <w:sz w:val="21"/>
        </w:rPr>
        <w:t>Usefulness:</w:t>
      </w:r>
      <w:r>
        <w:rPr>
          <w:rFonts w:ascii="Arial" w:hAnsi="Arial" w:cs="Arial"/>
          <w:b w:val="0"/>
          <w:i w:val="0"/>
          <w:caps w:val="0"/>
          <w:color w:val="1A252F"/>
          <w:sz w:val="21"/>
        </w:rPr>
        <w:t xml:space="preserve"> ask a sample of students at week 4 whether they did any of their next steps.</w:t>
      </w:r>
    </w:p>
    <w:p>
      <w:pPr>
        <w:spacing w:before="400" w:after="120"/>
        <w:pBdr>
          <w:bottom w:val="single" w:sz="8" w:space="6" w:color="1A252F"/>
        </w:pBdr>
      </w:pPr>
      <w:r>
        <w:rPr>
          <w:rFonts w:ascii="Arial" w:hAnsi="Arial" w:cs="Arial"/>
          <w:b/>
          <w:i w:val="0"/>
          <w:caps/>
          <w:color w:val="000000"/>
          <w:sz w:val="32"/>
        </w:rPr>
        <w:t>9. Decisions for you</w:t>
      </w:r>
    </w:p>
    <w:p>
      <w:pPr>
        <w:spacing w:before="40" w:after="140"/>
        <w:ind w:left="144"/>
        <w:pBdr>
          <w:left w:val="single" w:sz="18" w:space="7" w:color="1F618D"/>
        </w:pBdr>
      </w:pPr>
      <w:r>
        <w:rPr>
          <w:rFonts w:ascii="Arial" w:hAnsi="Arial" w:cs="Arial"/>
          <w:b/>
          <w:i w:val="0"/>
          <w:caps w:val="0"/>
          <w:color w:val="1A252F"/>
          <w:sz w:val="21"/>
        </w:rPr>
        <w:t>Items 1 to 4 must be settled before version 2 goes live.</w:t>
      </w:r>
    </w:p>
    <w:tbl>
      <w:tblPr>
        <w:tblW w:type="auto" w:w="0"/>
        <w:jc w:val="center"/>
        <w:tblLook w:firstColumn="1" w:firstRow="1" w:lastColumn="0" w:lastRow="0" w:noHBand="0" w:noVBand="1" w:val="04A0"/>
      </w:tblPr>
      <w:tblGrid>
        <w:gridCol w:w="605"/>
        <w:gridCol w:w="8755"/>
      </w:tblGrid>
      <w:tr>
        <w:tc>
          <w:tcPr>
            <w:tcW w:type="dxa" w:w="605"/>
            <w:shd w:val="clear" w:color="auto" w:fill="922B21"/>
            <w:tcBorders>
              <w:top w:val="nil"/>
              <w:left w:val="nil"/>
              <w:bottom w:val="nil"/>
              <w:right w:val="nil"/>
            </w:tcBorders>
            <w:tcMar>
              <w:top w:w="110" w:type="dxa"/>
              <w:start w:w="60" w:type="dxa"/>
              <w:bottom w:w="110" w:type="dxa"/>
              <w:end w:w="60" w:type="dxa"/>
            </w:tcMar>
          </w:tcPr>
          <w:p>
            <w:pPr>
              <w:spacing w:after="0"/>
              <w:jc w:val="center"/>
            </w:pPr>
            <w:r>
              <w:rPr>
                <w:rFonts w:ascii="Arial" w:hAnsi="Arial" w:cs="Arial"/>
                <w:b/>
                <w:i w:val="0"/>
                <w:caps w:val="0"/>
                <w:color w:val="FFFFFF"/>
                <w:sz w:val="34"/>
              </w:rPr>
              <w:t>1</w:t>
            </w:r>
          </w:p>
        </w:tc>
        <w:tc>
          <w:tcPr>
            <w:tcW w:type="dxa" w:w="8755"/>
            <w:shd w:val="clear" w:color="auto" w:fill="FDEDEC"/>
            <w:tcMar>
              <w:top w:w="110" w:type="dxa"/>
              <w:start w:w="150" w:type="dxa"/>
              <w:bottom w:w="110" w:type="dxa"/>
              <w:end w:w="150" w:type="dxa"/>
            </w:tcMar>
            <w:tcBorders>
              <w:top w:val="single" w:sz="4" w:space="0" w:color="E4E7EA"/>
              <w:left w:val="nil"/>
              <w:bottom w:val="single" w:sz="4" w:space="0" w:color="E4E7EA"/>
              <w:right w:val="single" w:sz="4" w:space="0" w:color="E4E7EA"/>
            </w:tcBorders>
          </w:tcPr>
          <w:p>
            <w:pPr>
              <w:spacing w:after="60"/>
            </w:pPr>
            <w:r>
              <w:rPr>
                <w:rFonts w:ascii="Arial" w:hAnsi="Arial" w:cs="Arial"/>
                <w:b/>
                <w:i w:val="0"/>
                <w:caps/>
                <w:color w:val="922B21"/>
                <w:sz w:val="18"/>
              </w:rPr>
              <w:t>Data contact</w:t>
            </w:r>
          </w:p>
          <w:p>
            <w:pPr>
              <w:spacing w:after="0"/>
            </w:pPr>
            <w:r>
              <w:rPr>
                <w:rFonts w:ascii="Arial" w:hAnsi="Arial" w:cs="Arial"/>
                <w:b w:val="0"/>
                <w:i w:val="0"/>
                <w:caps w:val="0"/>
                <w:color w:val="1A252F"/>
                <w:sz w:val="20"/>
              </w:rPr>
              <w:t>The letter and privacy notice name jipinmoye@alueducation.com for access and deletion requests. Confirm, or give a team inbox. Edit SITE.dataContactEmail in src/lib/config.ts.</w:t>
            </w:r>
          </w:p>
        </w:tc>
      </w:tr>
    </w:tbl>
    <w:p>
      <w:pPr>
        <w:spacing w:after="40"/>
      </w:pPr>
    </w:p>
    <w:tbl>
      <w:tblPr>
        <w:tblW w:type="auto" w:w="0"/>
        <w:jc w:val="center"/>
        <w:tblLook w:firstColumn="1" w:firstRow="1" w:lastColumn="0" w:lastRow="0" w:noHBand="0" w:noVBand="1" w:val="04A0"/>
      </w:tblPr>
      <w:tblGrid>
        <w:gridCol w:w="605"/>
        <w:gridCol w:w="8755"/>
      </w:tblGrid>
      <w:tr>
        <w:tc>
          <w:tcPr>
            <w:tcW w:type="dxa" w:w="605"/>
            <w:shd w:val="clear" w:color="auto" w:fill="922B21"/>
            <w:tcBorders>
              <w:top w:val="nil"/>
              <w:left w:val="nil"/>
              <w:bottom w:val="nil"/>
              <w:right w:val="nil"/>
            </w:tcBorders>
            <w:tcMar>
              <w:top w:w="110" w:type="dxa"/>
              <w:start w:w="60" w:type="dxa"/>
              <w:bottom w:w="110" w:type="dxa"/>
              <w:end w:w="60" w:type="dxa"/>
            </w:tcMar>
          </w:tcPr>
          <w:p>
            <w:pPr>
              <w:spacing w:after="0"/>
              <w:jc w:val="center"/>
            </w:pPr>
            <w:r>
              <w:rPr>
                <w:rFonts w:ascii="Arial" w:hAnsi="Arial" w:cs="Arial"/>
                <w:b/>
                <w:i w:val="0"/>
                <w:caps w:val="0"/>
                <w:color w:val="FFFFFF"/>
                <w:sz w:val="34"/>
              </w:rPr>
              <w:t>2</w:t>
            </w:r>
          </w:p>
        </w:tc>
        <w:tc>
          <w:tcPr>
            <w:tcW w:type="dxa" w:w="8755"/>
            <w:shd w:val="clear" w:color="auto" w:fill="FDEDEC"/>
            <w:tcMar>
              <w:top w:w="110" w:type="dxa"/>
              <w:start w:w="150" w:type="dxa"/>
              <w:bottom w:w="110" w:type="dxa"/>
              <w:end w:w="150" w:type="dxa"/>
            </w:tcMar>
            <w:tcBorders>
              <w:top w:val="single" w:sz="4" w:space="0" w:color="E4E7EA"/>
              <w:left w:val="nil"/>
              <w:bottom w:val="single" w:sz="4" w:space="0" w:color="E4E7EA"/>
              <w:right w:val="single" w:sz="4" w:space="0" w:color="E4E7EA"/>
            </w:tcBorders>
          </w:tcPr>
          <w:p>
            <w:pPr>
              <w:spacing w:after="60"/>
            </w:pPr>
            <w:r>
              <w:rPr>
                <w:rFonts w:ascii="Arial" w:hAnsi="Arial" w:cs="Arial"/>
                <w:b/>
                <w:i w:val="0"/>
                <w:caps/>
                <w:color w:val="922B21"/>
                <w:sz w:val="18"/>
              </w:rPr>
              <w:t>Retention</w:t>
            </w:r>
          </w:p>
          <w:p>
            <w:pPr>
              <w:spacing w:after="0"/>
            </w:pPr>
            <w:r>
              <w:rPr>
                <w:rFonts w:ascii="Arial" w:hAnsi="Arial" w:cs="Arial"/>
                <w:b w:val="0"/>
                <w:i w:val="0"/>
                <w:caps w:val="0"/>
                <w:color w:val="1A252F"/>
                <w:sz w:val="20"/>
              </w:rPr>
              <w:t>The privacy notice says answers are deleted within twelve months of a student leaving. Confirm this matches ALCHE's records policy.</w:t>
            </w:r>
          </w:p>
        </w:tc>
      </w:tr>
    </w:tbl>
    <w:p>
      <w:pPr>
        <w:spacing w:after="40"/>
      </w:pPr>
    </w:p>
    <w:tbl>
      <w:tblPr>
        <w:tblW w:type="auto" w:w="0"/>
        <w:jc w:val="center"/>
        <w:tblLook w:firstColumn="1" w:firstRow="1" w:lastColumn="0" w:lastRow="0" w:noHBand="0" w:noVBand="1" w:val="04A0"/>
      </w:tblPr>
      <w:tblGrid>
        <w:gridCol w:w="605"/>
        <w:gridCol w:w="8755"/>
      </w:tblGrid>
      <w:tr>
        <w:tc>
          <w:tcPr>
            <w:tcW w:type="dxa" w:w="605"/>
            <w:shd w:val="clear" w:color="auto" w:fill="922B21"/>
            <w:tcBorders>
              <w:top w:val="nil"/>
              <w:left w:val="nil"/>
              <w:bottom w:val="nil"/>
              <w:right w:val="nil"/>
            </w:tcBorders>
            <w:tcMar>
              <w:top w:w="110" w:type="dxa"/>
              <w:start w:w="60" w:type="dxa"/>
              <w:bottom w:w="110" w:type="dxa"/>
              <w:end w:w="60" w:type="dxa"/>
            </w:tcMar>
          </w:tcPr>
          <w:p>
            <w:pPr>
              <w:spacing w:after="0"/>
              <w:jc w:val="center"/>
            </w:pPr>
            <w:r>
              <w:rPr>
                <w:rFonts w:ascii="Arial" w:hAnsi="Arial" w:cs="Arial"/>
                <w:b/>
                <w:i w:val="0"/>
                <w:caps w:val="0"/>
                <w:color w:val="FFFFFF"/>
                <w:sz w:val="34"/>
              </w:rPr>
              <w:t>3</w:t>
            </w:r>
          </w:p>
        </w:tc>
        <w:tc>
          <w:tcPr>
            <w:tcW w:type="dxa" w:w="8755"/>
            <w:shd w:val="clear" w:color="auto" w:fill="FDEDEC"/>
            <w:tcMar>
              <w:top w:w="110" w:type="dxa"/>
              <w:start w:w="150" w:type="dxa"/>
              <w:bottom w:w="110" w:type="dxa"/>
              <w:end w:w="150" w:type="dxa"/>
            </w:tcMar>
            <w:tcBorders>
              <w:top w:val="single" w:sz="4" w:space="0" w:color="E4E7EA"/>
              <w:left w:val="nil"/>
              <w:bottom w:val="single" w:sz="4" w:space="0" w:color="E4E7EA"/>
              <w:right w:val="single" w:sz="4" w:space="0" w:color="E4E7EA"/>
            </w:tcBorders>
          </w:tcPr>
          <w:p>
            <w:pPr>
              <w:spacing w:after="60"/>
            </w:pPr>
            <w:r>
              <w:rPr>
                <w:rFonts w:ascii="Arial" w:hAnsi="Arial" w:cs="Arial"/>
                <w:b/>
                <w:i w:val="0"/>
                <w:caps/>
                <w:color w:val="922B21"/>
                <w:sz w:val="18"/>
              </w:rPr>
              <w:t>Who reads the answers</w:t>
            </w:r>
          </w:p>
          <w:p>
            <w:pPr>
              <w:spacing w:after="0"/>
            </w:pPr>
            <w:r>
              <w:rPr>
                <w:rFonts w:ascii="Arial" w:hAnsi="Arial" w:cs="Arial"/>
                <w:b w:val="0"/>
                <w:i w:val="0"/>
                <w:caps w:val="0"/>
                <w:color w:val="1A252F"/>
                <w:sz w:val="20"/>
              </w:rPr>
              <w:t>The site promises that only Student Success staff read answers and that nothing is used in academic decisions. Interns are students; they should see tiers and next steps, not raw wellbeing or disability answers. Confirm the sheet's sharing matches.</w:t>
            </w:r>
          </w:p>
        </w:tc>
      </w:tr>
    </w:tbl>
    <w:p>
      <w:pPr>
        <w:spacing w:after="40"/>
      </w:pPr>
    </w:p>
    <w:tbl>
      <w:tblPr>
        <w:tblW w:type="auto" w:w="0"/>
        <w:jc w:val="center"/>
        <w:tblLook w:firstColumn="1" w:firstRow="1" w:lastColumn="0" w:lastRow="0" w:noHBand="0" w:noVBand="1" w:val="04A0"/>
      </w:tblPr>
      <w:tblGrid>
        <w:gridCol w:w="605"/>
        <w:gridCol w:w="8755"/>
      </w:tblGrid>
      <w:tr>
        <w:tc>
          <w:tcPr>
            <w:tcW w:type="dxa" w:w="605"/>
            <w:shd w:val="clear" w:color="auto" w:fill="922B21"/>
            <w:tcBorders>
              <w:top w:val="nil"/>
              <w:left w:val="nil"/>
              <w:bottom w:val="nil"/>
              <w:right w:val="nil"/>
            </w:tcBorders>
            <w:tcMar>
              <w:top w:w="110" w:type="dxa"/>
              <w:start w:w="60" w:type="dxa"/>
              <w:bottom w:w="110" w:type="dxa"/>
              <w:end w:w="60" w:type="dxa"/>
            </w:tcMar>
          </w:tcPr>
          <w:p>
            <w:pPr>
              <w:spacing w:after="0"/>
              <w:jc w:val="center"/>
            </w:pPr>
            <w:r>
              <w:rPr>
                <w:rFonts w:ascii="Arial" w:hAnsi="Arial" w:cs="Arial"/>
                <w:b/>
                <w:i w:val="0"/>
                <w:caps w:val="0"/>
                <w:color w:val="FFFFFF"/>
                <w:sz w:val="34"/>
              </w:rPr>
              <w:t>4</w:t>
            </w:r>
          </w:p>
        </w:tc>
        <w:tc>
          <w:tcPr>
            <w:tcW w:type="dxa" w:w="8755"/>
            <w:shd w:val="clear" w:color="auto" w:fill="FDEDEC"/>
            <w:tcMar>
              <w:top w:w="110" w:type="dxa"/>
              <w:start w:w="150" w:type="dxa"/>
              <w:bottom w:w="110" w:type="dxa"/>
              <w:end w:w="150" w:type="dxa"/>
            </w:tcMar>
            <w:tcBorders>
              <w:top w:val="single" w:sz="4" w:space="0" w:color="E4E7EA"/>
              <w:left w:val="nil"/>
              <w:bottom w:val="single" w:sz="4" w:space="0" w:color="E4E7EA"/>
              <w:right w:val="single" w:sz="4" w:space="0" w:color="E4E7EA"/>
            </w:tcBorders>
          </w:tcPr>
          <w:p>
            <w:pPr>
              <w:spacing w:after="60"/>
            </w:pPr>
            <w:r>
              <w:rPr>
                <w:rFonts w:ascii="Arial" w:hAnsi="Arial" w:cs="Arial"/>
                <w:b/>
                <w:i w:val="0"/>
                <w:caps/>
                <w:color w:val="922B21"/>
                <w:sz w:val="18"/>
              </w:rPr>
              <w:t>Response promises</w:t>
            </w:r>
          </w:p>
          <w:p>
            <w:pPr>
              <w:spacing w:after="0"/>
            </w:pPr>
            <w:r>
              <w:rPr>
                <w:rFonts w:ascii="Arial" w:hAnsi="Arial" w:cs="Arial"/>
                <w:b w:val="0"/>
                <w:i w:val="0"/>
                <w:caps w:val="0"/>
                <w:color w:val="1A252F"/>
                <w:sz w:val="20"/>
              </w:rPr>
              <w:t>Tier 1 promises contact within two working days and Tier 2 within two weeks. Confirm the team can keep both at the start of term, when every intake answers at once.</w:t>
            </w:r>
          </w:p>
        </w:tc>
      </w:tr>
    </w:tbl>
    <w:p>
      <w:pPr>
        <w:spacing w:after="40"/>
      </w:pPr>
    </w:p>
    <w:tbl>
      <w:tblPr>
        <w:tblW w:type="auto" w:w="0"/>
        <w:jc w:val="center"/>
        <w:tblLook w:firstColumn="1" w:firstRow="1" w:lastColumn="0" w:lastRow="0" w:noHBand="0" w:noVBand="1" w:val="04A0"/>
      </w:tblPr>
      <w:tblGrid>
        <w:gridCol w:w="605"/>
        <w:gridCol w:w="8755"/>
      </w:tblGrid>
      <w:tr>
        <w:tc>
          <w:tcPr>
            <w:tcW w:type="dxa" w:w="605"/>
            <w:shd w:val="clear" w:color="auto" w:fill="1F618D"/>
            <w:tcBorders>
              <w:top w:val="nil"/>
              <w:left w:val="nil"/>
              <w:bottom w:val="nil"/>
              <w:right w:val="nil"/>
            </w:tcBorders>
            <w:tcMar>
              <w:top w:w="110" w:type="dxa"/>
              <w:start w:w="60" w:type="dxa"/>
              <w:bottom w:w="110" w:type="dxa"/>
              <w:end w:w="60" w:type="dxa"/>
            </w:tcMar>
          </w:tcPr>
          <w:p>
            <w:pPr>
              <w:spacing w:after="0"/>
              <w:jc w:val="center"/>
            </w:pPr>
            <w:r>
              <w:rPr>
                <w:rFonts w:ascii="Arial" w:hAnsi="Arial" w:cs="Arial"/>
                <w:b/>
                <w:i w:val="0"/>
                <w:caps w:val="0"/>
                <w:color w:val="FFFFFF"/>
                <w:sz w:val="34"/>
              </w:rPr>
              <w:t>5</w:t>
            </w:r>
          </w:p>
        </w:tc>
        <w:tc>
          <w:tcPr>
            <w:tcW w:type="dxa" w:w="8755"/>
            <w:shd w:val="clear" w:color="auto" w:fill="F4F5F7"/>
            <w:tcMar>
              <w:top w:w="110" w:type="dxa"/>
              <w:start w:w="150" w:type="dxa"/>
              <w:bottom w:w="110" w:type="dxa"/>
              <w:end w:w="150" w:type="dxa"/>
            </w:tcMar>
            <w:tcBorders>
              <w:top w:val="single" w:sz="4" w:space="0" w:color="E4E7EA"/>
              <w:left w:val="nil"/>
              <w:bottom w:val="single" w:sz="4" w:space="0" w:color="E4E7EA"/>
              <w:right w:val="single" w:sz="4" w:space="0" w:color="E4E7EA"/>
            </w:tcBorders>
          </w:tcPr>
          <w:p>
            <w:pPr>
              <w:spacing w:after="60"/>
            </w:pPr>
            <w:r>
              <w:rPr>
                <w:rFonts w:ascii="Arial" w:hAnsi="Arial" w:cs="Arial"/>
                <w:b/>
                <w:i w:val="0"/>
                <w:caps/>
                <w:color w:val="1F618D"/>
                <w:sz w:val="18"/>
              </w:rPr>
              <w:t>Office-hours booking link</w:t>
            </w:r>
          </w:p>
          <w:p>
            <w:pPr>
              <w:spacing w:after="0"/>
            </w:pPr>
            <w:r>
              <w:rPr>
                <w:rFonts w:ascii="Arial" w:hAnsi="Arial" w:cs="Arial"/>
                <w:b w:val="0"/>
                <w:i w:val="0"/>
                <w:caps w:val="0"/>
                <w:color w:val="1A252F"/>
                <w:sz w:val="20"/>
              </w:rPr>
              <w:t>If there is one, add it as LINKS.officeHours; the letter then shows a booking link instead of 'reply when we contact you'.</w:t>
            </w:r>
          </w:p>
        </w:tc>
      </w:tr>
    </w:tbl>
    <w:p>
      <w:pPr>
        <w:spacing w:after="40"/>
      </w:pPr>
    </w:p>
    <w:tbl>
      <w:tblPr>
        <w:tblW w:type="auto" w:w="0"/>
        <w:jc w:val="center"/>
        <w:tblLook w:firstColumn="1" w:firstRow="1" w:lastColumn="0" w:lastRow="0" w:noHBand="0" w:noVBand="1" w:val="04A0"/>
      </w:tblPr>
      <w:tblGrid>
        <w:gridCol w:w="605"/>
        <w:gridCol w:w="8755"/>
      </w:tblGrid>
      <w:tr>
        <w:tc>
          <w:tcPr>
            <w:tcW w:type="dxa" w:w="605"/>
            <w:shd w:val="clear" w:color="auto" w:fill="1F618D"/>
            <w:tcBorders>
              <w:top w:val="nil"/>
              <w:left w:val="nil"/>
              <w:bottom w:val="nil"/>
              <w:right w:val="nil"/>
            </w:tcBorders>
            <w:tcMar>
              <w:top w:w="110" w:type="dxa"/>
              <w:start w:w="60" w:type="dxa"/>
              <w:bottom w:w="110" w:type="dxa"/>
              <w:end w:w="60" w:type="dxa"/>
            </w:tcMar>
          </w:tcPr>
          <w:p>
            <w:pPr>
              <w:spacing w:after="0"/>
              <w:jc w:val="center"/>
            </w:pPr>
            <w:r>
              <w:rPr>
                <w:rFonts w:ascii="Arial" w:hAnsi="Arial" w:cs="Arial"/>
                <w:b/>
                <w:i w:val="0"/>
                <w:caps w:val="0"/>
                <w:color w:val="FFFFFF"/>
                <w:sz w:val="34"/>
              </w:rPr>
              <w:t>6</w:t>
            </w:r>
          </w:p>
        </w:tc>
        <w:tc>
          <w:tcPr>
            <w:tcW w:type="dxa" w:w="8755"/>
            <w:shd w:val="clear" w:color="auto" w:fill="F4F5F7"/>
            <w:tcMar>
              <w:top w:w="110" w:type="dxa"/>
              <w:start w:w="150" w:type="dxa"/>
              <w:bottom w:w="110" w:type="dxa"/>
              <w:end w:w="150" w:type="dxa"/>
            </w:tcMar>
            <w:tcBorders>
              <w:top w:val="single" w:sz="4" w:space="0" w:color="E4E7EA"/>
              <w:left w:val="nil"/>
              <w:bottom w:val="single" w:sz="4" w:space="0" w:color="E4E7EA"/>
              <w:right w:val="single" w:sz="4" w:space="0" w:color="E4E7EA"/>
            </w:tcBorders>
          </w:tcPr>
          <w:p>
            <w:pPr>
              <w:spacing w:after="60"/>
            </w:pPr>
            <w:r>
              <w:rPr>
                <w:rFonts w:ascii="Arial" w:hAnsi="Arial" w:cs="Arial"/>
                <w:b/>
                <w:i w:val="0"/>
                <w:caps/>
                <w:color w:val="1F618D"/>
                <w:sz w:val="18"/>
              </w:rPr>
              <w:t>Safeguarding line</w:t>
            </w:r>
          </w:p>
          <w:p>
            <w:pPr>
              <w:spacing w:after="0"/>
            </w:pPr>
            <w:r>
              <w:rPr>
                <w:rFonts w:ascii="Arial" w:hAnsi="Arial" w:cs="Arial"/>
                <w:b w:val="0"/>
                <w:i w:val="0"/>
                <w:caps w:val="0"/>
                <w:color w:val="1A252F"/>
                <w:sz w:val="20"/>
              </w:rPr>
              <w:t>The privacy notice says ALCHE welfare staff may be involved if someone is at serious risk, and the student will be told. Confirm this matches ALCHE's procedure.</w:t>
            </w:r>
          </w:p>
        </w:tc>
      </w:tr>
    </w:tbl>
    <w:p>
      <w:pPr>
        <w:spacing w:after="40"/>
      </w:pPr>
    </w:p>
    <w:tbl>
      <w:tblPr>
        <w:tblW w:type="auto" w:w="0"/>
        <w:jc w:val="center"/>
        <w:tblLook w:firstColumn="1" w:firstRow="1" w:lastColumn="0" w:lastRow="0" w:noHBand="0" w:noVBand="1" w:val="04A0"/>
      </w:tblPr>
      <w:tblGrid>
        <w:gridCol w:w="605"/>
        <w:gridCol w:w="8755"/>
      </w:tblGrid>
      <w:tr>
        <w:tc>
          <w:tcPr>
            <w:tcW w:type="dxa" w:w="605"/>
            <w:shd w:val="clear" w:color="auto" w:fill="1F618D"/>
            <w:tcBorders>
              <w:top w:val="nil"/>
              <w:left w:val="nil"/>
              <w:bottom w:val="nil"/>
              <w:right w:val="nil"/>
            </w:tcBorders>
            <w:tcMar>
              <w:top w:w="110" w:type="dxa"/>
              <w:start w:w="60" w:type="dxa"/>
              <w:bottom w:w="110" w:type="dxa"/>
              <w:end w:w="60" w:type="dxa"/>
            </w:tcMar>
          </w:tcPr>
          <w:p>
            <w:pPr>
              <w:spacing w:after="0"/>
              <w:jc w:val="center"/>
            </w:pPr>
            <w:r>
              <w:rPr>
                <w:rFonts w:ascii="Arial" w:hAnsi="Arial" w:cs="Arial"/>
                <w:b/>
                <w:i w:val="0"/>
                <w:caps w:val="0"/>
                <w:color w:val="FFFFFF"/>
                <w:sz w:val="34"/>
              </w:rPr>
              <w:t>7</w:t>
            </w:r>
          </w:p>
        </w:tc>
        <w:tc>
          <w:tcPr>
            <w:tcW w:type="dxa" w:w="8755"/>
            <w:shd w:val="clear" w:color="auto" w:fill="F4F5F7"/>
            <w:tcMar>
              <w:top w:w="110" w:type="dxa"/>
              <w:start w:w="150" w:type="dxa"/>
              <w:bottom w:w="110" w:type="dxa"/>
              <w:end w:w="150" w:type="dxa"/>
            </w:tcMar>
            <w:tcBorders>
              <w:top w:val="single" w:sz="4" w:space="0" w:color="E4E7EA"/>
              <w:left w:val="nil"/>
              <w:bottom w:val="single" w:sz="4" w:space="0" w:color="E4E7EA"/>
              <w:right w:val="single" w:sz="4" w:space="0" w:color="E4E7EA"/>
            </w:tcBorders>
          </w:tcPr>
          <w:p>
            <w:pPr>
              <w:spacing w:after="60"/>
            </w:pPr>
            <w:r>
              <w:rPr>
                <w:rFonts w:ascii="Arial" w:hAnsi="Arial" w:cs="Arial"/>
                <w:b/>
                <w:i w:val="0"/>
                <w:caps/>
                <w:color w:val="1F618D"/>
                <w:sz w:val="18"/>
              </w:rPr>
              <w:t>Foundation Programme</w:t>
            </w:r>
          </w:p>
          <w:p>
            <w:pPr>
              <w:spacing w:after="0"/>
            </w:pPr>
            <w:r>
              <w:rPr>
                <w:rFonts w:ascii="Arial" w:hAnsi="Arial" w:cs="Arial"/>
                <w:b w:val="0"/>
                <w:i w:val="0"/>
                <w:caps w:val="0"/>
                <w:color w:val="1A252F"/>
                <w:sz w:val="20"/>
              </w:rPr>
              <w:t>It is listed as a programme option. Remove it from PROGRAMMES if no Foundation students take the Compass this term.</w:t>
            </w:r>
          </w:p>
        </w:tc>
      </w:tr>
    </w:tbl>
    <w:p>
      <w:pPr>
        <w:spacing w:after="40"/>
      </w:pPr>
    </w:p>
    <w:tbl>
      <w:tblPr>
        <w:tblW w:type="auto" w:w="0"/>
        <w:jc w:val="center"/>
        <w:tblLook w:firstColumn="1" w:firstRow="1" w:lastColumn="0" w:lastRow="0" w:noHBand="0" w:noVBand="1" w:val="04A0"/>
      </w:tblPr>
      <w:tblGrid>
        <w:gridCol w:w="605"/>
        <w:gridCol w:w="8755"/>
      </w:tblGrid>
      <w:tr>
        <w:tc>
          <w:tcPr>
            <w:tcW w:type="dxa" w:w="605"/>
            <w:shd w:val="clear" w:color="auto" w:fill="1F618D"/>
            <w:tcBorders>
              <w:top w:val="nil"/>
              <w:left w:val="nil"/>
              <w:bottom w:val="nil"/>
              <w:right w:val="nil"/>
            </w:tcBorders>
            <w:tcMar>
              <w:top w:w="110" w:type="dxa"/>
              <w:start w:w="60" w:type="dxa"/>
              <w:bottom w:w="110" w:type="dxa"/>
              <w:end w:w="60" w:type="dxa"/>
            </w:tcMar>
          </w:tcPr>
          <w:p>
            <w:pPr>
              <w:spacing w:after="0"/>
              <w:jc w:val="center"/>
            </w:pPr>
            <w:r>
              <w:rPr>
                <w:rFonts w:ascii="Arial" w:hAnsi="Arial" w:cs="Arial"/>
                <w:b/>
                <w:i w:val="0"/>
                <w:caps w:val="0"/>
                <w:color w:val="FFFFFF"/>
                <w:sz w:val="34"/>
              </w:rPr>
              <w:t>8</w:t>
            </w:r>
          </w:p>
        </w:tc>
        <w:tc>
          <w:tcPr>
            <w:tcW w:type="dxa" w:w="8755"/>
            <w:shd w:val="clear" w:color="auto" w:fill="F4F5F7"/>
            <w:tcMar>
              <w:top w:w="110" w:type="dxa"/>
              <w:start w:w="150" w:type="dxa"/>
              <w:bottom w:w="110" w:type="dxa"/>
              <w:end w:w="150" w:type="dxa"/>
            </w:tcMar>
            <w:tcBorders>
              <w:top w:val="single" w:sz="4" w:space="0" w:color="E4E7EA"/>
              <w:left w:val="nil"/>
              <w:bottom w:val="single" w:sz="4" w:space="0" w:color="E4E7EA"/>
              <w:right w:val="single" w:sz="4" w:space="0" w:color="E4E7EA"/>
            </w:tcBorders>
          </w:tcPr>
          <w:p>
            <w:pPr>
              <w:spacing w:after="60"/>
            </w:pPr>
            <w:r>
              <w:rPr>
                <w:rFonts w:ascii="Arial" w:hAnsi="Arial" w:cs="Arial"/>
                <w:b/>
                <w:i w:val="0"/>
                <w:caps/>
                <w:color w:val="1F618D"/>
                <w:sz w:val="18"/>
              </w:rPr>
              <w:t>Rotate the admin key</w:t>
            </w:r>
          </w:p>
          <w:p>
            <w:pPr>
              <w:spacing w:after="0"/>
            </w:pPr>
            <w:r>
              <w:rPr>
                <w:rFonts w:ascii="Arial" w:hAnsi="Arial" w:cs="Arial"/>
                <w:b w:val="0"/>
                <w:i w:val="0"/>
                <w:caps w:val="0"/>
                <w:color w:val="1A252F"/>
                <w:sz w:val="20"/>
              </w:rPr>
              <w:t>The version 1 key travelled in URLs. Replace ADMIN_SECRET_KEY in Vercel after go-live.</w:t>
            </w:r>
          </w:p>
        </w:tc>
      </w:tr>
    </w:tbl>
    <w:p>
      <w:pPr>
        <w:spacing w:after="40"/>
      </w:pPr>
    </w:p>
    <w:tbl>
      <w:tblPr>
        <w:tblW w:type="auto" w:w="0"/>
        <w:jc w:val="center"/>
        <w:tblLook w:firstColumn="1" w:firstRow="1" w:lastColumn="0" w:lastRow="0" w:noHBand="0" w:noVBand="1" w:val="04A0"/>
      </w:tblPr>
      <w:tblGrid>
        <w:gridCol w:w="605"/>
        <w:gridCol w:w="8755"/>
      </w:tblGrid>
      <w:tr>
        <w:tc>
          <w:tcPr>
            <w:tcW w:type="dxa" w:w="605"/>
            <w:shd w:val="clear" w:color="auto" w:fill="1F618D"/>
            <w:tcBorders>
              <w:top w:val="nil"/>
              <w:left w:val="nil"/>
              <w:bottom w:val="nil"/>
              <w:right w:val="nil"/>
            </w:tcBorders>
            <w:tcMar>
              <w:top w:w="110" w:type="dxa"/>
              <w:start w:w="60" w:type="dxa"/>
              <w:bottom w:w="110" w:type="dxa"/>
              <w:end w:w="60" w:type="dxa"/>
            </w:tcMar>
          </w:tcPr>
          <w:p>
            <w:pPr>
              <w:spacing w:after="0"/>
              <w:jc w:val="center"/>
            </w:pPr>
            <w:r>
              <w:rPr>
                <w:rFonts w:ascii="Arial" w:hAnsi="Arial" w:cs="Arial"/>
                <w:b/>
                <w:i w:val="0"/>
                <w:caps w:val="0"/>
                <w:color w:val="FFFFFF"/>
                <w:sz w:val="34"/>
              </w:rPr>
              <w:t>9</w:t>
            </w:r>
          </w:p>
        </w:tc>
        <w:tc>
          <w:tcPr>
            <w:tcW w:type="dxa" w:w="8755"/>
            <w:shd w:val="clear" w:color="auto" w:fill="F4F5F7"/>
            <w:tcMar>
              <w:top w:w="110" w:type="dxa"/>
              <w:start w:w="150" w:type="dxa"/>
              <w:bottom w:w="110" w:type="dxa"/>
              <w:end w:w="150" w:type="dxa"/>
            </w:tcMar>
            <w:tcBorders>
              <w:top w:val="single" w:sz="4" w:space="0" w:color="E4E7EA"/>
              <w:left w:val="nil"/>
              <w:bottom w:val="single" w:sz="4" w:space="0" w:color="E4E7EA"/>
              <w:right w:val="single" w:sz="4" w:space="0" w:color="E4E7EA"/>
            </w:tcBorders>
          </w:tcPr>
          <w:p>
            <w:pPr>
              <w:spacing w:after="60"/>
            </w:pPr>
            <w:r>
              <w:rPr>
                <w:rFonts w:ascii="Arial" w:hAnsi="Arial" w:cs="Arial"/>
                <w:b/>
                <w:i w:val="0"/>
                <w:caps/>
                <w:color w:val="1F618D"/>
                <w:sz w:val="18"/>
              </w:rPr>
              <w:t>Subdomain</w:t>
            </w:r>
          </w:p>
          <w:p>
            <w:pPr>
              <w:spacing w:after="0"/>
            </w:pPr>
            <w:r>
              <w:rPr>
                <w:rFonts w:ascii="Arial" w:hAnsi="Arial" w:cs="Arial"/>
                <w:b w:val="0"/>
                <w:i w:val="0"/>
                <w:caps w:val="0"/>
                <w:color w:val="1A252F"/>
                <w:sz w:val="20"/>
              </w:rPr>
              <w:t>Ask ALU IT for compass.alueducation.com (or similar) as a CNAME to cname.vercel-dns.com, then add it in Vercel. Steps are in SETUP.md.</w:t>
            </w:r>
          </w:p>
        </w:tc>
      </w:tr>
    </w:tbl>
    <w:p>
      <w:pPr>
        <w:spacing w:after="40"/>
      </w:pPr>
    </w:p>
    <w:tbl>
      <w:tblPr>
        <w:tblW w:type="auto" w:w="0"/>
        <w:jc w:val="center"/>
        <w:tblLook w:firstColumn="1" w:firstRow="1" w:lastColumn="0" w:lastRow="0" w:noHBand="0" w:noVBand="1" w:val="04A0"/>
      </w:tblPr>
      <w:tblGrid>
        <w:gridCol w:w="605"/>
        <w:gridCol w:w="8755"/>
      </w:tblGrid>
      <w:tr>
        <w:tc>
          <w:tcPr>
            <w:tcW w:type="dxa" w:w="605"/>
            <w:shd w:val="clear" w:color="auto" w:fill="1F618D"/>
            <w:tcBorders>
              <w:top w:val="nil"/>
              <w:left w:val="nil"/>
              <w:bottom w:val="nil"/>
              <w:right w:val="nil"/>
            </w:tcBorders>
            <w:tcMar>
              <w:top w:w="110" w:type="dxa"/>
              <w:start w:w="60" w:type="dxa"/>
              <w:bottom w:w="110" w:type="dxa"/>
              <w:end w:w="60" w:type="dxa"/>
            </w:tcMar>
          </w:tcPr>
          <w:p>
            <w:pPr>
              <w:spacing w:after="0"/>
              <w:jc w:val="center"/>
            </w:pPr>
            <w:r>
              <w:rPr>
                <w:rFonts w:ascii="Arial" w:hAnsi="Arial" w:cs="Arial"/>
                <w:b/>
                <w:i w:val="0"/>
                <w:caps w:val="0"/>
                <w:color w:val="FFFFFF"/>
                <w:sz w:val="34"/>
              </w:rPr>
              <w:t>10</w:t>
            </w:r>
          </w:p>
        </w:tc>
        <w:tc>
          <w:tcPr>
            <w:tcW w:type="dxa" w:w="8755"/>
            <w:shd w:val="clear" w:color="auto" w:fill="F4F5F7"/>
            <w:tcMar>
              <w:top w:w="110" w:type="dxa"/>
              <w:start w:w="150" w:type="dxa"/>
              <w:bottom w:w="110" w:type="dxa"/>
              <w:end w:w="150" w:type="dxa"/>
            </w:tcMar>
            <w:tcBorders>
              <w:top w:val="single" w:sz="4" w:space="0" w:color="E4E7EA"/>
              <w:left w:val="nil"/>
              <w:bottom w:val="single" w:sz="4" w:space="0" w:color="E4E7EA"/>
              <w:right w:val="single" w:sz="4" w:space="0" w:color="E4E7EA"/>
            </w:tcBorders>
          </w:tcPr>
          <w:p>
            <w:pPr>
              <w:spacing w:after="60"/>
            </w:pPr>
            <w:r>
              <w:rPr>
                <w:rFonts w:ascii="Arial" w:hAnsi="Arial" w:cs="Arial"/>
                <w:b/>
                <w:i w:val="0"/>
                <w:caps/>
                <w:color w:val="1F618D"/>
                <w:sz w:val="18"/>
              </w:rPr>
              <w:t>Compass Weekly</w:t>
            </w:r>
          </w:p>
          <w:p>
            <w:pPr>
              <w:spacing w:after="0"/>
            </w:pPr>
            <w:r>
              <w:rPr>
                <w:rFonts w:ascii="Arial" w:hAnsi="Arial" w:cs="Arial"/>
                <w:b w:val="0"/>
                <w:i w:val="0"/>
                <w:caps w:val="0"/>
                <w:color w:val="1A252F"/>
                <w:sz w:val="20"/>
              </w:rPr>
              <w:t>When the pipeline resumes, copy the Engagement column into score_total_engagement and decide whether Confidence replaces score_total_cognitive.</w:t>
            </w:r>
          </w:p>
        </w:tc>
      </w:tr>
    </w:tbl>
    <w:p>
      <w:pPr>
        <w:spacing w:after="40"/>
      </w:pPr>
    </w:p>
    <w:p>
      <w:pPr>
        <w:pageBreakBefore/>
        <w:spacing w:before="0" w:after="120"/>
        <w:pBdr>
          <w:bottom w:val="single" w:sz="8" w:space="6" w:color="1A252F"/>
        </w:pBdr>
      </w:pPr>
      <w:r>
        <w:rPr>
          <w:rFonts w:ascii="Arial" w:hAnsi="Arial" w:cs="Arial"/>
          <w:b/>
          <w:i w:val="0"/>
          <w:caps/>
          <w:color w:val="000000"/>
          <w:sz w:val="32"/>
        </w:rPr>
        <w:t>References</w:t>
      </w:r>
    </w:p>
    <w:p>
      <w:pPr>
        <w:spacing w:after="100"/>
      </w:pPr>
      <w:r>
        <w:rPr>
          <w:rFonts w:ascii="Arial" w:hAnsi="Arial" w:cs="Arial"/>
          <w:b w:val="0"/>
          <w:i w:val="0"/>
          <w:caps w:val="0"/>
          <w:color w:val="1A252F"/>
          <w:sz w:val="19"/>
        </w:rPr>
        <w:t>Chamberlain, S. R., Cortese, S., and Grant, J. E. (2021). Screening for adult ADHD using brief rating tools: What can we conclude from a positive screen? Some caveats. Comprehensive Psychiatry, 106, 152224.</w:t>
      </w:r>
    </w:p>
    <w:p>
      <w:pPr>
        <w:spacing w:after="100"/>
      </w:pPr>
      <w:r>
        <w:rPr>
          <w:rFonts w:ascii="Arial" w:hAnsi="Arial" w:cs="Arial"/>
          <w:b w:val="0"/>
          <w:i w:val="0"/>
          <w:caps w:val="0"/>
          <w:color w:val="1A252F"/>
          <w:sz w:val="19"/>
        </w:rPr>
        <w:t>Credé, M., Tynan, M. C., and Harms, P. D. (2017). Much ado about grit: A meta-analytic synthesis of the grit literature. Journal of Personality and Social Psychology, 113(3), 492 to 511.</w:t>
      </w:r>
    </w:p>
    <w:p>
      <w:pPr>
        <w:spacing w:after="100"/>
      </w:pPr>
      <w:r>
        <w:rPr>
          <w:rFonts w:ascii="Arial" w:hAnsi="Arial" w:cs="Arial"/>
          <w:b w:val="0"/>
          <w:i w:val="0"/>
          <w:caps w:val="0"/>
          <w:color w:val="1A252F"/>
          <w:sz w:val="19"/>
        </w:rPr>
        <w:t>Dunlosky, J., Rawson, K. A., Marsh, E. J., Nathan, M. J., and Willingham, D. T. (2013). Improving students' learning with effective learning techniques. Psychological Science in the Public Interest, 14(1), 4 to 58.</w:t>
      </w:r>
    </w:p>
    <w:p>
      <w:pPr>
        <w:spacing w:after="100"/>
      </w:pPr>
      <w:r>
        <w:rPr>
          <w:rFonts w:ascii="Arial" w:hAnsi="Arial" w:cs="Arial"/>
          <w:b w:val="0"/>
          <w:i w:val="0"/>
          <w:caps w:val="0"/>
          <w:color w:val="1A252F"/>
          <w:sz w:val="19"/>
        </w:rPr>
        <w:t>Karabenick, S. A., and Knapp, J. R. (1988). Help seeking and the need for academic assistance. Journal of Educational Psychology, 80(3), 406 to 408.</w:t>
      </w:r>
    </w:p>
    <w:p>
      <w:pPr>
        <w:spacing w:after="100"/>
      </w:pPr>
      <w:r>
        <w:rPr>
          <w:rFonts w:ascii="Arial" w:hAnsi="Arial" w:cs="Arial"/>
          <w:b w:val="0"/>
          <w:i w:val="0"/>
          <w:caps w:val="0"/>
          <w:color w:val="1A252F"/>
          <w:sz w:val="19"/>
        </w:rPr>
        <w:t>Karabenick, S. A., and Knapp, J. R. (1991). Relationship of academic help seeking to the use of learning strategies and other instrumental achievement behavior in college students. Journal of Educational Psychology, 83(2), 221 to 230.</w:t>
      </w:r>
    </w:p>
    <w:p>
      <w:pPr>
        <w:spacing w:after="100"/>
      </w:pPr>
      <w:r>
        <w:rPr>
          <w:rFonts w:ascii="Arial" w:hAnsi="Arial" w:cs="Arial"/>
          <w:b w:val="0"/>
          <w:i w:val="0"/>
          <w:caps w:val="0"/>
          <w:color w:val="1A252F"/>
          <w:sz w:val="19"/>
        </w:rPr>
        <w:t>Kluger, A. N., and DeNisi, A. (1996). The effects of feedback interventions on performance. Psychological Bulletin, 119(2), 254 to 284.</w:t>
      </w:r>
    </w:p>
    <w:p>
      <w:pPr>
        <w:spacing w:after="100"/>
      </w:pPr>
      <w:r>
        <w:rPr>
          <w:rFonts w:ascii="Arial" w:hAnsi="Arial" w:cs="Arial"/>
          <w:b w:val="0"/>
          <w:i w:val="0"/>
          <w:caps w:val="0"/>
          <w:color w:val="1A252F"/>
          <w:sz w:val="19"/>
        </w:rPr>
        <w:t>Richardson, M., Abraham, C., and Bond, R. (2012). Psychological correlates of university students' academic performance: A systematic review and meta-analysis. Psychological Bulletin, 138(2), 353 to 387.</w:t>
      </w:r>
    </w:p>
    <w:p>
      <w:pPr>
        <w:spacing w:after="100"/>
      </w:pPr>
      <w:r>
        <w:rPr>
          <w:rFonts w:ascii="Arial" w:hAnsi="Arial" w:cs="Arial"/>
          <w:b w:val="0"/>
          <w:i w:val="0"/>
          <w:caps w:val="0"/>
          <w:color w:val="1A252F"/>
          <w:sz w:val="19"/>
        </w:rPr>
        <w:t>Robbins, S. B., Lauver, K., Le, H., Davis, D., Langley, R., and Carlstrom, A. (2004). Do psychosocial and study skill factors predict college outcomes? A meta-analysis. Psychological Bulletin, 130(2), 261 to 288.</w:t>
      </w:r>
    </w:p>
    <w:p>
      <w:pPr>
        <w:spacing w:after="100"/>
      </w:pPr>
      <w:r>
        <w:rPr>
          <w:rFonts w:ascii="Arial" w:hAnsi="Arial" w:cs="Arial"/>
          <w:b w:val="0"/>
          <w:i w:val="0"/>
          <w:caps w:val="0"/>
          <w:color w:val="1A252F"/>
          <w:sz w:val="19"/>
        </w:rPr>
        <w:t>Saris, W. E., Revilla, M., Krosnick, J. A., and Shaeffer, E. M. (2010). Comparing questions with agree/disagree response options to questions with item-specific response options. Survey Research Methods, 4(1), 61 to 79.</w:t>
      </w:r>
    </w:p>
    <w:p>
      <w:pPr>
        <w:spacing w:after="100"/>
      </w:pPr>
      <w:r>
        <w:rPr>
          <w:rFonts w:ascii="Arial" w:hAnsi="Arial" w:cs="Arial"/>
          <w:b w:val="0"/>
          <w:i w:val="0"/>
          <w:caps w:val="0"/>
          <w:color w:val="1A252F"/>
          <w:sz w:val="19"/>
        </w:rPr>
        <w:t>Steele, C. M., and Aronson, J. (1995). Stereotype threat and the intellectual test performance of African Americans. Journal of Personality and Social Psychology, 69(5), 797 to 811.</w:t>
      </w:r>
    </w:p>
    <w:p>
      <w:pPr>
        <w:spacing w:after="100"/>
      </w:pPr>
      <w:r>
        <w:rPr>
          <w:rFonts w:ascii="Arial" w:hAnsi="Arial" w:cs="Arial"/>
          <w:b w:val="0"/>
          <w:i w:val="0"/>
          <w:caps w:val="0"/>
          <w:color w:val="1A252F"/>
          <w:sz w:val="19"/>
        </w:rPr>
        <w:t>Topp, C. W., Østergaard, S. D., Søndergaard, S., and Bech, P. (2015). The WHO-5 Well-Being Index: A systematic review of the literature. Psychotherapy and Psychosomatics, 84(3), 167 to 176.</w:t>
      </w:r>
    </w:p>
    <w:p>
      <w:pPr>
        <w:spacing w:after="100"/>
      </w:pPr>
      <w:r>
        <w:rPr>
          <w:rFonts w:ascii="Arial" w:hAnsi="Arial" w:cs="Arial"/>
          <w:b w:val="0"/>
          <w:i w:val="0"/>
          <w:caps w:val="0"/>
          <w:color w:val="1A252F"/>
          <w:sz w:val="19"/>
        </w:rPr>
        <w:t>Walton, G. M., and Cohen, G. L. (2007). A question of belonging: Race, social fit, and achievement. Journal of Personality and Social Psychology, 92(1), 82 to 96.</w:t>
      </w:r>
    </w:p>
    <w:p>
      <w:pPr>
        <w:spacing w:after="100"/>
      </w:pPr>
      <w:r>
        <w:rPr>
          <w:rFonts w:ascii="Arial" w:hAnsi="Arial" w:cs="Arial"/>
          <w:b w:val="0"/>
          <w:i w:val="0"/>
          <w:caps w:val="0"/>
          <w:color w:val="1A252F"/>
          <w:sz w:val="19"/>
        </w:rPr>
        <w:t>Walton, G. M., and others (2023). Where and with whom does a brief social-belonging intervention promote progress in college? Science, 380(6644), 499 to 505.</w:t>
      </w:r>
    </w:p>
    <w:p>
      <w:pPr>
        <w:spacing w:after="100"/>
      </w:pPr>
      <w:r>
        <w:rPr>
          <w:rFonts w:ascii="Arial" w:hAnsi="Arial" w:cs="Arial"/>
          <w:b w:val="0"/>
          <w:i w:val="0"/>
          <w:caps w:val="0"/>
          <w:color w:val="1A252F"/>
          <w:sz w:val="19"/>
        </w:rPr>
        <w:t>World Health Organization (2024). The World Health Organization-Five Well-Being Index (WHO-5). Geneva: WHO. Licence: CC BY-NC-SA 3.0 IGO.</w:t>
      </w:r>
    </w:p>
    <w:p>
      <w:pPr>
        <w:spacing w:after="100"/>
      </w:pPr>
      <w:r>
        <w:rPr>
          <w:rFonts w:ascii="Arial" w:hAnsi="Arial" w:cs="Arial"/>
          <w:b w:val="0"/>
          <w:i w:val="0"/>
          <w:caps w:val="0"/>
          <w:color w:val="1A252F"/>
          <w:sz w:val="19"/>
        </w:rPr>
        <w:t>Yeager, D. S., and others (2014). Breaking the cycle of mistrust: Wise interventions to provide critical feedback across the racial divide. Journal of Experimental Psychology: General, 143(2), 804 to 824.</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rial" w:hAnsi="Arial" w:cs="Arial" w:eastAsia="Arial"/>
      <w:color w:val="1A25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