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2"/>
          <w:szCs w:val="52"/>
        </w:rPr>
        <w:t xml:space="preserve">TET4185</w:t>
      </w:r>
    </w:p>
    <w:p>
      <w:pPr>
        <w:spacing w:after="200" w:before="0"/>
        <w:jc w:val="center"/>
      </w:pPr>
      <w:r>
        <w:rPr>
          <w:rFonts w:ascii="Arial" w:cs="Arial" w:eastAsia="Arial" w:hAnsi="Arial"/>
          <w:b/>
          <w:bCs/>
          <w:color w:val="1F618D"/>
          <w:sz w:val="36"/>
          <w:szCs w:val="36"/>
        </w:rPr>
        <w:t xml:space="preserve">Power Markets, Resources and Environment</w:t>
      </w:r>
    </w:p>
    <w:p>
      <w:pPr>
        <w:spacing w:after="600" w:before="200"/>
        <w:jc w:val="center"/>
      </w:pPr>
      <w:r>
        <w:rPr>
          <w:rFonts w:ascii="Arial" w:cs="Arial" w:eastAsia="Arial" w:hAnsi="Arial"/>
          <w:color w:val="555555"/>
          <w:sz w:val="28"/>
          <w:szCs w:val="28"/>
        </w:rPr>
        <w:t xml:space="preserve">Team Walkthrough: Problems 3 &amp; 4</w:t>
      </w:r>
    </w:p>
    <w:p>
      <w:pPr>
        <w:pBdr>
          <w:bottom w:val="single" w:color="2E75B6" w:sz="6" w:space="1"/>
        </w:pBdr>
        <w:spacing w:after="120" w:before="120"/>
      </w:pPr>
    </w:p>
    <w:p>
      <w:pPr>
        <w:spacing w:after="200" w:before="400"/>
        <w:jc w:val="center"/>
      </w:pPr>
      <w:r>
        <w:rPr>
          <w:rFonts w:ascii="Arial" w:cs="Arial" w:eastAsia="Arial" w:hAnsi="Arial"/>
          <w:color w:val="444444"/>
          <w:sz w:val="24"/>
          <w:szCs w:val="24"/>
        </w:rPr>
        <w:t xml:space="preserve">What Every Task Asks – How We Solved It – What the Results Mean</w:t>
      </w:r>
    </w:p>
    <w:p>
      <w:pPr>
        <w:spacing w:after="200" w:before="200"/>
        <w:jc w:val="center"/>
      </w:pPr>
      <w:r>
        <w:rPr>
          <w:rFonts w:ascii="Arial" w:cs="Arial" w:eastAsia="Arial" w:hAnsi="Arial"/>
          <w:color w:val="666666"/>
          <w:sz w:val="22"/>
          <w:szCs w:val="22"/>
        </w:rPr>
        <w:t xml:space="preserve">Spring 2026</w:t>
      </w:r>
    </w:p>
    <w:p>
      <w:r>
        <w:br w:type="page"/>
      </w:r>
    </w:p>
    <w:p>
      <w:pPr>
        <w:pStyle w:val="Heading1"/>
        <w:spacing w:after="120" w:before="360"/>
      </w:pPr>
      <w:r>
        <w:rPr>
          <w:rFonts w:ascii="Arial" w:cs="Arial" w:eastAsia="Arial" w:hAnsi="Arial"/>
          <w:b/>
          <w:bCs/>
          <w:color w:val="1A3A5C"/>
          <w:sz w:val="34"/>
          <w:szCs w:val="34"/>
        </w:rPr>
        <w:t xml:space="preserve">Part 0 — Background Knowledge You Need</w:t>
      </w:r>
    </w:p>
    <w:p>
      <w:pPr>
        <w:spacing w:after="80" w:before="60" w:line="276"/>
      </w:pPr>
      <w:r>
        <w:rPr>
          <w:rFonts w:ascii="Arial" w:cs="Arial" w:eastAsia="Arial" w:hAnsi="Arial"/>
          <w:sz w:val="22"/>
          <w:szCs w:val="22"/>
        </w:rPr>
        <w:t xml:space="preserve">Before diving into Problems 3 and 4, here is a quick reference for the foundational ideas that underpin every analysis in this project. If you are comfortable with these concepts you can jump straight to Part 1.</w:t>
      </w:r>
    </w:p>
    <w:p>
      <w:pPr>
        <w:spacing w:after="80" w:before="80"/>
      </w:pPr>
    </w:p>
    <w:p>
      <w:pPr>
        <w:pStyle w:val="Heading2"/>
        <w:spacing w:after="100" w:before="280"/>
      </w:pPr>
      <w:r>
        <w:rPr>
          <w:rFonts w:ascii="Arial" w:cs="Arial" w:eastAsia="Arial" w:hAnsi="Arial"/>
          <w:b/>
          <w:bCs/>
          <w:color w:val="1F618D"/>
          <w:sz w:val="28"/>
          <w:szCs w:val="28"/>
        </w:rPr>
        <w:t xml:space="preserve">0.1  The Nordic Electricity System (12 Bidding Zones)</w:t>
      </w:r>
    </w:p>
    <w:p>
      <w:pPr>
        <w:spacing w:after="80" w:before="60" w:line="276"/>
      </w:pPr>
      <w:r>
        <w:rPr>
          <w:rFonts w:ascii="Arial" w:cs="Arial" w:eastAsia="Arial" w:hAnsi="Arial"/>
          <w:sz w:val="22"/>
          <w:szCs w:val="22"/>
        </w:rPr>
        <w:t xml:space="preserve">The model represents the entire Nordic/Baltic electricity market as 12 bidding zones, each with its own demand, generation capacity, and marginal cost: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44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Zone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Region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Base Cost</w:t>
            </w:r>
          </w:p>
        </w:tc>
        <w:tc>
          <w:tcPr>
            <w:tcW w:type="dxa" w:w="4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Characteristics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North Norway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Cheap hydro, exporter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Mid Norway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38 €/MWh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Cheap hydro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West Norway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 hydro capacity (6500 MW wet)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South Norway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Largest zone by capacity (10 000 MW)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East Norway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Moderate hydro, 3000 MW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North Sweden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Cheap hydro + nuclear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Mid Sweden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Cheap hydro + nuclear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South Sweden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Largest zone: 12 400 MW nuclear + hydro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South-South Sweden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Small local capacity (1600 MW)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Finland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59 €/MWh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 thermal + nuclear (9800 MW)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Denmark West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Thermal + wind, most expensive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Denmark East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93 €/MWh</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Thermal + wind</w:t>
            </w:r>
          </w:p>
        </w:tc>
      </w:tr>
    </w:tbl>
    <w:p>
      <w:pPr>
        <w:spacing w:after="80" w:before="80"/>
      </w:pPr>
    </w:p>
    <w:p>
      <w:pPr>
        <w:spacing w:after="80" w:before="60" w:line="276"/>
      </w:pPr>
      <w:r>
        <w:rPr>
          <w:rFonts w:ascii="Arial" w:cs="Arial" w:eastAsia="Arial" w:hAnsi="Arial"/>
          <w:sz w:val="22"/>
          <w:szCs w:val="22"/>
        </w:rPr>
        <w:t xml:space="preserve">Zones are connected by AC transmission lines (governed by PTDF physics in FBMC) and HVDC links (controllable point-to-point cables). The key HVDC links are: SE3→FI, NO2→DK1, and DK1→DK2.</w:t>
      </w:r>
    </w:p>
    <w:p>
      <w:pPr>
        <w:spacing w:after="80" w:before="80"/>
      </w:pPr>
    </w:p>
    <w:p>
      <w:pPr>
        <w:pStyle w:val="Heading2"/>
        <w:spacing w:after="100" w:before="280"/>
      </w:pPr>
      <w:r>
        <w:rPr>
          <w:rFonts w:ascii="Arial" w:cs="Arial" w:eastAsia="Arial" w:hAnsi="Arial"/>
          <w:b/>
          <w:bCs/>
          <w:color w:val="1F618D"/>
          <w:sz w:val="28"/>
          <w:szCs w:val="28"/>
        </w:rPr>
        <w:t xml:space="preserve">0.2  Merit Order and Economic Dispatch</w:t>
      </w:r>
    </w:p>
    <w:p>
      <w:pPr>
        <w:spacing w:after="80" w:before="60" w:line="276"/>
      </w:pPr>
      <w:r>
        <w:rPr>
          <w:rFonts w:ascii="Arial" w:cs="Arial" w:eastAsia="Arial" w:hAnsi="Arial"/>
          <w:sz w:val="22"/>
          <w:szCs w:val="22"/>
        </w:rPr>
        <w:t xml:space="preserve">The electricity market dispatches generators in order of ascending marginal cost — cheapest first. This is called the merit order. In the Nordic system the cheapest generators are Norwegian/Swedish hydropower (27–35 €/MWh), followed by nuclear in Sweden and Finland, then Norwegian thermal, and lastly Danish coal/gas (93 €/MWh). The marginal generator — the last one to be switched on to meet total demand — sets the market price. If demand increases and the next unit in the merit order costs more, the price jumps.</w:t>
      </w:r>
    </w:p>
    <w:p>
      <w:pPr>
        <w:spacing w:after="80" w:before="80"/>
      </w:pPr>
    </w:p>
    <w:p>
      <w:pPr>
        <w:pStyle w:val="Heading2"/>
        <w:spacing w:after="100" w:before="280"/>
      </w:pPr>
      <w:r>
        <w:rPr>
          <w:rFonts w:ascii="Arial" w:cs="Arial" w:eastAsia="Arial" w:hAnsi="Arial"/>
          <w:b/>
          <w:bCs/>
          <w:color w:val="1F618D"/>
          <w:sz w:val="28"/>
          <w:szCs w:val="28"/>
        </w:rPr>
        <w:t xml:space="preserve">0.3  Zonal Prices and Congestion</w:t>
      </w:r>
    </w:p>
    <w:p>
      <w:pPr>
        <w:spacing w:after="80" w:before="60" w:line="276"/>
      </w:pPr>
      <w:r>
        <w:rPr>
          <w:rFonts w:ascii="Arial" w:cs="Arial" w:eastAsia="Arial" w:hAnsi="Arial"/>
          <w:sz w:val="22"/>
          <w:szCs w:val="22"/>
        </w:rPr>
        <w:t xml:space="preserve">When a transmission line between two zones becomes fully loaded (its flow hits the thermal capacity limit), the line is said to be binding or congested. Congestion causes zones to see different prices:</w:t>
      </w:r>
    </w:p>
    <w:p>
      <w:pPr>
        <w:pStyle w:val="ListParagraph"/>
        <w:numPr>
          <w:ilvl w:val="0"/>
          <w:numId w:val="2"/>
        </w:numPr>
        <w:spacing w:after="40" w:before="40" w:line="260"/>
      </w:pPr>
      <w:r>
        <w:rPr>
          <w:rFonts w:ascii="Arial" w:cs="Arial" w:eastAsia="Arial" w:hAnsi="Arial"/>
          <w:sz w:val="22"/>
          <w:szCs w:val="22"/>
        </w:rPr>
        <w:t xml:space="preserve">Zones on the cheap side of a congested line get a lower price than the rest of the system.</w:t>
      </w:r>
    </w:p>
    <w:p>
      <w:pPr>
        <w:pStyle w:val="ListParagraph"/>
        <w:numPr>
          <w:ilvl w:val="0"/>
          <w:numId w:val="2"/>
        </w:numPr>
        <w:spacing w:after="40" w:before="40" w:line="260"/>
      </w:pPr>
      <w:r>
        <w:rPr>
          <w:rFonts w:ascii="Arial" w:cs="Arial" w:eastAsia="Arial" w:hAnsi="Arial"/>
          <w:sz w:val="22"/>
          <w:szCs w:val="22"/>
        </w:rPr>
        <w:t xml:space="preserve">Zones on the expensive side get a higher price because they cannot import enough cheap power.</w:t>
      </w:r>
    </w:p>
    <w:p>
      <w:pPr>
        <w:pStyle w:val="ListParagraph"/>
        <w:numPr>
          <w:ilvl w:val="0"/>
          <w:numId w:val="2"/>
        </w:numPr>
        <w:spacing w:after="40" w:before="40" w:line="260"/>
      </w:pPr>
      <w:r>
        <w:rPr>
          <w:rFonts w:ascii="Arial" w:cs="Arial" w:eastAsia="Arial" w:hAnsi="Arial"/>
          <w:sz w:val="22"/>
          <w:szCs w:val="22"/>
        </w:rPr>
        <w:t xml:space="preserve">The price difference across a congested line equals the congestion rent, which is collected by the Transmission System Operators (TSOs).</w:t>
      </w:r>
    </w:p>
    <w:p>
      <w:pPr>
        <w:spacing w:after="80" w:before="60" w:line="276"/>
      </w:pPr>
      <w:r>
        <w:rPr>
          <w:rFonts w:ascii="Arial" w:cs="Arial" w:eastAsia="Arial" w:hAnsi="Arial"/>
          <w:sz w:val="22"/>
          <w:szCs w:val="22"/>
        </w:rPr>
        <w:t xml:space="preserve">Without congestion, all zones see the same price (the system marginal cost). This is why in the dry-year ATC scenario all 12 zones land at exactly 114 €/MWh — ATC has no PTDF coupling, so no congestion separates prices.</w:t>
      </w:r>
    </w:p>
    <w:p>
      <w:pPr>
        <w:spacing w:after="80" w:before="80"/>
      </w:pPr>
    </w:p>
    <w:p>
      <w:pPr>
        <w:pStyle w:val="Heading2"/>
        <w:spacing w:after="100" w:before="280"/>
      </w:pPr>
      <w:r>
        <w:rPr>
          <w:rFonts w:ascii="Arial" w:cs="Arial" w:eastAsia="Arial" w:hAnsi="Arial"/>
          <w:b/>
          <w:bCs/>
          <w:color w:val="1F618D"/>
          <w:sz w:val="28"/>
          <w:szCs w:val="28"/>
        </w:rPr>
        <w:t xml:space="preserve">0.4  FBMC vs ATC — Recap</w:t>
      </w:r>
    </w:p>
    <w:p>
      <w:pPr>
        <w:spacing w:after="80" w:before="60" w:line="276"/>
      </w:pPr>
      <w:r>
        <w:rPr>
          <w:rFonts w:ascii="Arial" w:cs="Arial" w:eastAsia="Arial" w:hAnsi="Arial"/>
          <w:sz w:val="22"/>
          <w:szCs w:val="22"/>
        </w:rPr>
        <w:t xml:space="preserve">Problems 1 and 2 established the two market-clearing methods used throughout Problems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Method</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FBMC (Flow-Based Market Coupling)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Uses pre-computed PTDF matrix; each AC line flow = sum of PTDF × zonal net injections. Coupling means one zone's generation change affects every line simultaneously. Physically realistic for meshed networks.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ATC (Available Transfer Capability)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Treats each line as an independent bilateral pipe. Flows are free variables bounded only by thermal limits. Ignores loop flows. Often produces physically infeasible dispatches. Easier to compute but less accurate.</w:t>
            </w:r>
          </w:p>
        </w:tc>
      </w:tr>
    </w:tbl>
    <w:p>
      <w:pPr>
        <w:spacing w:after="80" w:before="60" w:line="276"/>
      </w:pPr>
      <w:r>
        <w:rPr>
          <w:rFonts w:ascii="Arial" w:cs="Arial" w:eastAsia="Arial" w:hAnsi="Arial"/>
          <w:sz w:val="22"/>
          <w:szCs w:val="22"/>
        </w:rPr>
        <w:t xml:space="preserve">Key result from earlier problems: FBMC costs slightly more than ATC in our model because PTDF coupling restricts certain dispatch combinations that ATC freely exploits — but the FBMC solution is the physically feasible one.</w:t>
      </w:r>
    </w:p>
    <w:p>
      <w:pPr>
        <w:spacing w:after="80" w:before="80"/>
      </w:pPr>
    </w:p>
    <w:p>
      <w:pPr>
        <w:pStyle w:val="Heading2"/>
        <w:spacing w:after="100" w:before="280"/>
      </w:pPr>
      <w:r>
        <w:rPr>
          <w:rFonts w:ascii="Arial" w:cs="Arial" w:eastAsia="Arial" w:hAnsi="Arial"/>
          <w:b/>
          <w:bCs/>
          <w:color w:val="1F618D"/>
          <w:sz w:val="28"/>
          <w:szCs w:val="28"/>
        </w:rPr>
        <w:t xml:space="preserve">0.5  Wet Year vs Dry Year</w:t>
      </w:r>
    </w:p>
    <w:p>
      <w:pPr>
        <w:spacing w:after="80" w:before="60" w:line="276"/>
      </w:pPr>
      <w:r>
        <w:rPr>
          <w:rFonts w:ascii="Arial" w:cs="Arial" w:eastAsia="Arial" w:hAnsi="Arial"/>
          <w:sz w:val="22"/>
          <w:szCs w:val="22"/>
        </w:rPr>
        <w:t xml:space="preserve">Norwegian and Swedish hydropower is weather-dependent. In a wet year (high rainfall and snowmelt) reservoirs are full and generation capacity is high, so cheap hydro dominates and prices are low. In a dry year reservoir inflows are low, capacity shrinks sharply, and the system must rely more on expensive thermal generation, pushing prices up significantly. This seasonal variability is the single biggest driver of Nordic price swings year to year.</w:t>
      </w:r>
    </w:p>
    <w:p>
      <w:pPr>
        <w:spacing w:after="80" w:before="80"/>
      </w:pPr>
    </w:p>
    <w:p>
      <w:pPr>
        <w:pStyle w:val="Heading2"/>
        <w:spacing w:after="100" w:before="280"/>
      </w:pPr>
      <w:r>
        <w:rPr>
          <w:rFonts w:ascii="Arial" w:cs="Arial" w:eastAsia="Arial" w:hAnsi="Arial"/>
          <w:b/>
          <w:bCs/>
          <w:color w:val="1F618D"/>
          <w:sz w:val="28"/>
          <w:szCs w:val="28"/>
        </w:rPr>
        <w:t xml:space="preserve">0.6  Load Shedding and the Value of Lost Load</w:t>
      </w:r>
    </w:p>
    <w:p>
      <w:pPr>
        <w:spacing w:after="80" w:before="60" w:line="276"/>
      </w:pPr>
      <w:r>
        <w:rPr>
          <w:rFonts w:ascii="Arial" w:cs="Arial" w:eastAsia="Arial" w:hAnsi="Arial"/>
          <w:sz w:val="22"/>
          <w:szCs w:val="22"/>
        </w:rPr>
        <w:t xml:space="preserve">When the total available generation capacity in the system (or in an isolated zone) is less than demand, and there is no more generation to switch on, the model must shed (cut) some load involuntarily. Load shedding is modelled as a very expensive 'virtual generator' with a cost of 3,200 €/MWh (the Value of Lost Load, VoLL). Because 3,200 €/MWh is far above any real generator, the optimizer always exhausts every real generator before shedding load. When shedding is forced anyway, the zonal price spikes to 3,200 €/MWh, signalling an extreme supply crisis.</w:t>
      </w:r>
    </w:p>
    <w:p>
      <w:pPr>
        <w:spacing w:after="80" w:before="80"/>
      </w:pPr>
    </w:p>
    <w:p>
      <w:pPr>
        <w:pStyle w:val="Heading2"/>
        <w:spacing w:after="100" w:before="280"/>
      </w:pPr>
      <w:r>
        <w:rPr>
          <w:rFonts w:ascii="Arial" w:cs="Arial" w:eastAsia="Arial" w:hAnsi="Arial"/>
          <w:b/>
          <w:bCs/>
          <w:color w:val="1F618D"/>
          <w:sz w:val="28"/>
          <w:szCs w:val="28"/>
        </w:rPr>
        <w:t xml:space="preserve">0.7  The Merit-Order Effect of Wind</w:t>
      </w:r>
    </w:p>
    <w:p>
      <w:pPr>
        <w:spacing w:after="80" w:before="60" w:line="276"/>
      </w:pPr>
      <w:r>
        <w:rPr>
          <w:rFonts w:ascii="Arial" w:cs="Arial" w:eastAsia="Arial" w:hAnsi="Arial"/>
          <w:sz w:val="22"/>
          <w:szCs w:val="22"/>
        </w:rPr>
        <w:t xml:space="preserve">Wind power has zero marginal cost. When large amounts of wind enter the system, they displace the most expensive conventional generators, shifting the supply curve rightward. The effect is lower average prices across the system — but also higher price volatility: when wind is low, expensive generators re-enter the market and prices can jump sharply. This 'lower average, higher variance' outcome is the defining characteristic of high-wind systems.</w:t>
      </w:r>
    </w:p>
    <w:p>
      <w:pPr>
        <w:spacing w:after="80" w:before="80"/>
      </w:pPr>
    </w:p>
    <w:p>
      <w:pPr>
        <w:pStyle w:val="Heading2"/>
        <w:spacing w:after="100" w:before="280"/>
      </w:pPr>
      <w:r>
        <w:rPr>
          <w:rFonts w:ascii="Arial" w:cs="Arial" w:eastAsia="Arial" w:hAnsi="Arial"/>
          <w:b/>
          <w:bCs/>
          <w:color w:val="1F618D"/>
          <w:sz w:val="28"/>
          <w:szCs w:val="28"/>
        </w:rPr>
        <w:t xml:space="preserve">0.8  EU Emissions Trading System (EU ETS) Basics</w:t>
      </w:r>
    </w:p>
    <w:p>
      <w:pPr>
        <w:spacing w:after="80" w:before="60" w:line="276"/>
      </w:pPr>
      <w:r>
        <w:rPr>
          <w:rFonts w:ascii="Arial" w:cs="Arial" w:eastAsia="Arial" w:hAnsi="Arial"/>
          <w:sz w:val="22"/>
          <w:szCs w:val="22"/>
        </w:rPr>
        <w:t xml:space="preserve">The EU ETS is a cap-and-trade system for CO2. Emitters must hold one allowance per tonne of CO2 they emit. When generators have to buy allowances, their effective marginal cost becomes: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5FB" w:val="clear"/>
            <w:tcMar>
              <w:top w:type="dxa" w:w="120"/>
              <w:left w:type="dxa" w:w="160"/>
              <w:bottom w:type="dxa" w:w="120"/>
              <w:right w:type="dxa" w:w="160"/>
            </w:tcMar>
          </w:tcPr>
          <w:p>
            <w:pPr>
              <w:spacing w:after="0" w:before="0" w:line="276"/>
            </w:pPr>
            <w:r>
              <w:rPr>
                <w:rFonts w:ascii="Arial" w:cs="Arial" w:eastAsia="Arial" w:hAnsi="Arial"/>
                <w:sz w:val="22"/>
                <w:szCs w:val="22"/>
              </w:rPr>
              <w:t xml:space="preserve">Effective cost = original fuel/O&amp;M cost + (CO2 intensity × carbon price)  [€/MWh]</w:t>
            </w:r>
          </w:p>
        </w:tc>
      </w:tr>
    </w:tbl>
    <w:p>
      <w:pPr>
        <w:spacing w:after="80" w:before="80"/>
      </w:pPr>
    </w:p>
    <w:p>
      <w:pPr>
        <w:spacing w:after="80" w:before="60" w:line="276"/>
      </w:pPr>
      <w:r>
        <w:rPr>
          <w:rFonts w:ascii="Arial" w:cs="Arial" w:eastAsia="Arial" w:hAnsi="Arial"/>
          <w:sz w:val="22"/>
          <w:szCs w:val="22"/>
        </w:rPr>
        <w:t xml:space="preserve">High-emission generators (gas, coal, peat) are penalised more than low-emission ones (hydro, nuclear). A sufficiently high carbon price can change the dispatch order — exactly what we test in Task 3-5.</w:t>
      </w:r>
    </w:p>
    <w:p>
      <w:pPr>
        <w:spacing w:after="80" w:before="80"/>
      </w:pPr>
    </w:p>
    <w:p>
      <w:r>
        <w:br w:type="page"/>
      </w:r>
    </w:p>
    <w:p>
      <w:pPr>
        <w:pStyle w:val="Heading1"/>
        <w:spacing w:after="120" w:before="360"/>
      </w:pPr>
      <w:r>
        <w:rPr>
          <w:rFonts w:ascii="Arial" w:cs="Arial" w:eastAsia="Arial" w:hAnsi="Arial"/>
          <w:b/>
          <w:bCs/>
          <w:color w:val="1A3A5C"/>
          <w:sz w:val="34"/>
          <w:szCs w:val="34"/>
        </w:rPr>
        <w:t xml:space="preserve">Problem 3 — Nordic System FBMC</w:t>
      </w:r>
    </w:p>
    <w:p>
      <w:pPr>
        <w:spacing w:after="80" w:before="60" w:line="276"/>
      </w:pPr>
      <w:r>
        <w:rPr>
          <w:rFonts w:ascii="Arial" w:cs="Arial" w:eastAsia="Arial" w:hAnsi="Arial"/>
          <w:sz w:val="22"/>
          <w:szCs w:val="22"/>
        </w:rPr>
        <w:t xml:space="preserve">Problem 3 applies everything from Problems 1 and 2 to a realistic 12-zone model of the Nordic electricity system. We run the FBMC and ATC models for different scenarios (wet year, dry year, nuclear phaseout, carbon pricing) and analyse the results in depth. The model is implemented in Python using Pyomo and solved with Gurobi.</w:t>
      </w:r>
    </w:p>
    <w:p>
      <w:pPr>
        <w:spacing w:after="80" w:before="80"/>
      </w:pPr>
    </w:p>
    <w:p>
      <w:pPr>
        <w:pStyle w:val="Heading2"/>
        <w:spacing w:after="100" w:before="280"/>
      </w:pPr>
      <w:r>
        <w:rPr>
          <w:rFonts w:ascii="Arial" w:cs="Arial" w:eastAsia="Arial" w:hAnsi="Arial"/>
          <w:b/>
          <w:bCs/>
          <w:color w:val="1F618D"/>
          <w:sz w:val="28"/>
          <w:szCs w:val="28"/>
        </w:rPr>
        <w:t xml:space="preserve">Task 3-1 — Getting Familiar With the Model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Understand the structure of the provided Python code before running it. Specifically: (a) how does the code switch between FBMC and ATC? Where is the reference node set? (b) What are the constraints and objective function for each method?</w:t>
            </w:r>
          </w:p>
        </w:tc>
      </w:tr>
    </w:tbl>
    <w:p>
      <w:pPr>
        <w:spacing w:after="80" w:before="80"/>
      </w:pPr>
    </w:p>
    <w:p>
      <w:pPr>
        <w:pStyle w:val="Heading3"/>
        <w:spacing w:after="80" w:before="200"/>
      </w:pPr>
      <w:r>
        <w:rPr>
          <w:rFonts w:ascii="Arial" w:cs="Arial" w:eastAsia="Arial" w:hAnsi="Arial"/>
          <w:b/>
          <w:bCs/>
          <w:color w:val="2471A3"/>
          <w:sz w:val="24"/>
          <w:szCs w:val="24"/>
        </w:rPr>
        <w:t xml:space="preserve">Why This Task Matters</w:t>
      </w:r>
    </w:p>
    <w:p>
      <w:pPr>
        <w:spacing w:after="80" w:before="60" w:line="276"/>
      </w:pPr>
      <w:r>
        <w:rPr>
          <w:rFonts w:ascii="Arial" w:cs="Arial" w:eastAsia="Arial" w:hAnsi="Arial"/>
          <w:sz w:val="22"/>
          <w:szCs w:val="22"/>
        </w:rPr>
        <w:t xml:space="preserve">Before running any scenario, you need to know exactly what the model is doing. If you change a parameter or see an unexpected result, you need to know which part of the code controls it. This is a code-reading / model-documentation task.</w:t>
      </w:r>
    </w:p>
    <w:p>
      <w:pPr>
        <w:spacing w:after="80" w:before="80"/>
      </w:pPr>
    </w:p>
    <w:p>
      <w:pPr>
        <w:pStyle w:val="Heading3"/>
        <w:spacing w:after="80" w:before="200"/>
      </w:pPr>
      <w:r>
        <w:rPr>
          <w:rFonts w:ascii="Arial" w:cs="Arial" w:eastAsia="Arial" w:hAnsi="Arial"/>
          <w:b/>
          <w:bCs/>
          <w:color w:val="2471A3"/>
          <w:sz w:val="24"/>
          <w:szCs w:val="24"/>
        </w:rPr>
        <w:t xml:space="preserve">Our Solution &amp; Key Findings</w:t>
      </w:r>
    </w:p>
    <w:p>
      <w:pPr>
        <w:spacing w:after="60" w:before="160"/>
      </w:pPr>
      <w:r>
        <w:rPr>
          <w:rFonts w:ascii="Arial" w:cs="Arial" w:eastAsia="Arial" w:hAnsi="Arial"/>
          <w:b/>
          <w:bCs/>
          <w:color w:val="154360"/>
          <w:sz w:val="22"/>
          <w:szCs w:val="22"/>
          <w:u w:val="single"/>
        </w:rPr>
        <w:t xml:space="preserve">How the model selects FBMC vs ATC</w:t>
      </w:r>
    </w:p>
    <w:p>
      <w:pPr>
        <w:spacing w:after="80" w:before="60" w:line="276"/>
      </w:pPr>
      <w:r>
        <w:rPr>
          <w:rFonts w:ascii="Arial" w:cs="Arial" w:eastAsia="Arial" w:hAnsi="Arial"/>
          <w:sz w:val="22"/>
          <w:szCs w:val="22"/>
        </w:rPr>
        <w:t xml:space="preserve">The Python script reads a parameter called DCFlow from the Declarations sheet of the Excel input file. If DCFlow = 1, the model uses FBMC; if DCFlow = 0, it uses ATC. This single flag activates entirely different sets of constraints in the model.</w:t>
      </w:r>
    </w:p>
    <w:p>
      <w:pPr>
        <w:spacing w:after="80" w:before="80"/>
      </w:pPr>
    </w:p>
    <w:p>
      <w:pPr>
        <w:spacing w:after="60" w:before="160"/>
      </w:pPr>
      <w:r>
        <w:rPr>
          <w:rFonts w:ascii="Arial" w:cs="Arial" w:eastAsia="Arial" w:hAnsi="Arial"/>
          <w:b/>
          <w:bCs/>
          <w:color w:val="154360"/>
          <w:sz w:val="22"/>
          <w:szCs w:val="22"/>
          <w:u w:val="single"/>
        </w:rPr>
        <w:t xml:space="preserve">The reference node</w:t>
      </w:r>
    </w:p>
    <w:p>
      <w:pPr>
        <w:spacing w:after="80" w:before="60" w:line="276"/>
      </w:pPr>
      <w:r>
        <w:rPr>
          <w:rFonts w:ascii="Arial" w:cs="Arial" w:eastAsia="Arial" w:hAnsi="Arial"/>
          <w:sz w:val="22"/>
          <w:szCs w:val="22"/>
        </w:rPr>
        <w:t xml:space="preserve">Under FBMC, the PTDF matrix must be computed relative to a reference (slack) node, which is fixed at SE1 (Node 6). The code removes SE1's row and column from the network susceptance matrix B before computing the inverse used to calculate PTDFs. The choice of reference node is arbitrary because power flows depend only on angle differences — changing the reference node does not change dispatch, flows, or prices.</w:t>
      </w:r>
    </w:p>
    <w:p>
      <w:pPr>
        <w:spacing w:after="80" w:before="80"/>
      </w:pPr>
    </w:p>
    <w:p>
      <w:pPr>
        <w:spacing w:after="60" w:before="160"/>
      </w:pPr>
      <w:r>
        <w:rPr>
          <w:rFonts w:ascii="Arial" w:cs="Arial" w:eastAsia="Arial" w:hAnsi="Arial"/>
          <w:b/>
          <w:bCs/>
          <w:color w:val="154360"/>
          <w:sz w:val="22"/>
          <w:szCs w:val="22"/>
          <w:u w:val="single"/>
        </w:rPr>
        <w:t xml:space="preserve">Objective function (both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5FB"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OBJECTIVE FUNCTION</w:t>
            </w:r>
          </w:p>
          <w:p>
            <w:pPr>
              <w:spacing w:after="0" w:before="0" w:line="276"/>
            </w:pPr>
            <w:r>
              <w:rPr>
                <w:rFonts w:ascii="Arial" w:cs="Arial" w:eastAsia="Arial" w:hAnsi="Arial"/>
                <w:sz w:val="22"/>
                <w:szCs w:val="22"/>
              </w:rPr>
              <w:t xml:space="preserve">Minimize:  sum over all zones n of [ cost_n × generation_n ]  +  3200 × sum over all zones n of [ load_shed_n ]
This minimises total generation cost and heavily penalises any load shedding.</w:t>
            </w:r>
          </w:p>
        </w:tc>
      </w:tr>
    </w:tbl>
    <w:p>
      <w:pPr>
        <w:spacing w:after="80" w:before="80"/>
      </w:pPr>
    </w:p>
    <w:p>
      <w:pPr>
        <w:spacing w:after="60" w:before="160"/>
      </w:pPr>
      <w:r>
        <w:rPr>
          <w:rFonts w:ascii="Arial" w:cs="Arial" w:eastAsia="Arial" w:hAnsi="Arial"/>
          <w:b/>
          <w:bCs/>
          <w:color w:val="154360"/>
          <w:sz w:val="22"/>
          <w:szCs w:val="22"/>
          <w:u w:val="single"/>
        </w:rPr>
        <w:t xml:space="preserve">Shared constraints (both methods)</w:t>
      </w:r>
    </w:p>
    <w:p>
      <w:pPr>
        <w:pStyle w:val="ListParagraph"/>
        <w:numPr>
          <w:ilvl w:val="0"/>
          <w:numId w:val="2"/>
        </w:numPr>
        <w:spacing w:after="40" w:before="40" w:line="260"/>
      </w:pPr>
      <w:r>
        <w:rPr>
          <w:rFonts w:ascii="Arial" w:cs="Arial" w:eastAsia="Arial" w:hAnsi="Arial"/>
          <w:sz w:val="22"/>
          <w:szCs w:val="22"/>
        </w:rPr>
        <w:t xml:space="preserve">Generator limits: P_min ≤ P_gen ≤ P_max for every zone.</w:t>
      </w:r>
    </w:p>
    <w:p>
      <w:pPr>
        <w:pStyle w:val="ListParagraph"/>
        <w:numPr>
          <w:ilvl w:val="0"/>
          <w:numId w:val="2"/>
        </w:numPr>
        <w:spacing w:after="40" w:before="40" w:line="260"/>
      </w:pPr>
      <w:r>
        <w:rPr>
          <w:rFonts w:ascii="Arial" w:cs="Arial" w:eastAsia="Arial" w:hAnsi="Arial"/>
          <w:sz w:val="22"/>
          <w:szCs w:val="22"/>
        </w:rPr>
        <w:t xml:space="preserve">HVDC limits: each HVDC link has a bilateral capacity constraint (e.g., NO2→DK1 can carry up to 1700 MW in either direction).</w:t>
      </w:r>
    </w:p>
    <w:p>
      <w:pPr>
        <w:pStyle w:val="ListParagraph"/>
        <w:numPr>
          <w:ilvl w:val="0"/>
          <w:numId w:val="2"/>
        </w:numPr>
        <w:spacing w:after="40" w:before="40" w:line="260"/>
      </w:pPr>
      <w:r>
        <w:rPr>
          <w:rFonts w:ascii="Arial" w:cs="Arial" w:eastAsia="Arial" w:hAnsi="Arial"/>
          <w:sz w:val="22"/>
          <w:szCs w:val="22"/>
        </w:rPr>
        <w:t xml:space="preserve">Non-negativity: load shedding ≥ 0 for every zone.</w:t>
      </w:r>
    </w:p>
    <w:p>
      <w:pPr>
        <w:spacing w:after="80" w:before="80"/>
      </w:pPr>
    </w:p>
    <w:p>
      <w:pPr>
        <w:spacing w:after="60" w:before="160"/>
      </w:pPr>
      <w:r>
        <w:rPr>
          <w:rFonts w:ascii="Arial" w:cs="Arial" w:eastAsia="Arial" w:hAnsi="Arial"/>
          <w:b/>
          <w:bCs/>
          <w:color w:val="154360"/>
          <w:sz w:val="22"/>
          <w:szCs w:val="22"/>
          <w:u w:val="single"/>
        </w:rPr>
        <w:t xml:space="preserve">FBMC-specific constraints</w:t>
      </w:r>
    </w:p>
    <w:p>
      <w:pPr>
        <w:pStyle w:val="ListParagraph"/>
        <w:numPr>
          <w:ilvl w:val="0"/>
          <w:numId w:val="2"/>
        </w:numPr>
        <w:spacing w:after="40" w:before="40" w:line="260"/>
      </w:pPr>
      <w:r>
        <w:rPr>
          <w:rFonts w:ascii="Arial" w:cs="Arial" w:eastAsia="Arial" w:hAnsi="Arial"/>
          <w:sz w:val="22"/>
          <w:szCs w:val="22"/>
        </w:rPr>
        <w:t xml:space="preserve">Global power balance: the sum of all zonal net injections must equal zero (one equation for the whole system).</w:t>
      </w:r>
    </w:p>
    <w:p>
      <w:pPr>
        <w:pStyle w:val="ListParagraph"/>
        <w:numPr>
          <w:ilvl w:val="0"/>
          <w:numId w:val="2"/>
        </w:numPr>
        <w:spacing w:after="40" w:before="40" w:line="260"/>
      </w:pPr>
      <w:r>
        <w:rPr>
          <w:rFonts w:ascii="Arial" w:cs="Arial" w:eastAsia="Arial" w:hAnsi="Arial"/>
          <w:sz w:val="22"/>
          <w:szCs w:val="22"/>
        </w:rPr>
        <w:t xml:space="preserve">AC line flows are computed as: flow_l = sum_n (PTDF_l,n × INJ_n), where INJ_n = generation_n − demand_n + shed_n − HVDC contributions.</w:t>
      </w:r>
    </w:p>
    <w:p>
      <w:pPr>
        <w:pStyle w:val="ListParagraph"/>
        <w:numPr>
          <w:ilvl w:val="0"/>
          <w:numId w:val="2"/>
        </w:numPr>
        <w:spacing w:after="40" w:before="40" w:line="260"/>
      </w:pPr>
      <w:r>
        <w:rPr>
          <w:rFonts w:ascii="Arial" w:cs="Arial" w:eastAsia="Arial" w:hAnsi="Arial"/>
          <w:sz w:val="22"/>
          <w:szCs w:val="22"/>
        </w:rPr>
        <w:t xml:space="preserve">Every AC line flow must stay within its asymmetric thermal limits.</w:t>
      </w:r>
    </w:p>
    <w:p>
      <w:pPr>
        <w:spacing w:after="80" w:before="80"/>
      </w:pPr>
    </w:p>
    <w:p>
      <w:pPr>
        <w:spacing w:after="60" w:before="160"/>
      </w:pPr>
      <w:r>
        <w:rPr>
          <w:rFonts w:ascii="Arial" w:cs="Arial" w:eastAsia="Arial" w:hAnsi="Arial"/>
          <w:b/>
          <w:bCs/>
          <w:color w:val="154360"/>
          <w:sz w:val="22"/>
          <w:szCs w:val="22"/>
          <w:u w:val="single"/>
        </w:rPr>
        <w:t xml:space="preserve">ATC-specific constraints</w:t>
      </w:r>
    </w:p>
    <w:p>
      <w:pPr>
        <w:pStyle w:val="ListParagraph"/>
        <w:numPr>
          <w:ilvl w:val="0"/>
          <w:numId w:val="2"/>
        </w:numPr>
        <w:spacing w:after="40" w:before="40" w:line="260"/>
      </w:pPr>
      <w:r>
        <w:rPr>
          <w:rFonts w:ascii="Arial" w:cs="Arial" w:eastAsia="Arial" w:hAnsi="Arial"/>
          <w:sz w:val="22"/>
          <w:szCs w:val="22"/>
        </w:rPr>
        <w:t xml:space="preserve">Per-node power balance: at every individual node, generation + shedding = demand + sum of outgoing AC flows + HVDC contributions.</w:t>
      </w:r>
    </w:p>
    <w:p>
      <w:pPr>
        <w:pStyle w:val="ListParagraph"/>
        <w:numPr>
          <w:ilvl w:val="0"/>
          <w:numId w:val="2"/>
        </w:numPr>
        <w:spacing w:after="40" w:before="40" w:line="260"/>
      </w:pPr>
      <w:r>
        <w:rPr>
          <w:rFonts w:ascii="Arial" w:cs="Arial" w:eastAsia="Arial" w:hAnsi="Arial"/>
          <w:sz w:val="22"/>
          <w:szCs w:val="22"/>
        </w:rPr>
        <w:t xml:space="preserve">Each AC flow is a free decision variable bounded only by the bilateral thermal limit — there is no PTDF coupling.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FBMC couples all line flows to the full injection pattern. Changing generation at one zone propagates to every line in the network. ATC treats each line independently, which can produce physically infeasible dispatches (loop flows are completely ignored).</w:t>
            </w:r>
          </w:p>
        </w:tc>
      </w:tr>
    </w:tbl>
    <w:p>
      <w:pPr>
        <w:spacing w:after="80" w:before="80"/>
      </w:pPr>
    </w:p>
    <w:p>
      <w:r>
        <w:br w:type="page"/>
      </w:r>
    </w:p>
    <w:p>
      <w:pPr>
        <w:pStyle w:val="Heading2"/>
        <w:spacing w:after="100" w:before="280"/>
      </w:pPr>
      <w:r>
        <w:rPr>
          <w:rFonts w:ascii="Arial" w:cs="Arial" w:eastAsia="Arial" w:hAnsi="Arial"/>
          <w:b/>
          <w:bCs/>
          <w:color w:val="1F618D"/>
          <w:sz w:val="28"/>
          <w:szCs w:val="28"/>
        </w:rPr>
        <w:t xml:space="preserve">Task 3-2 — Analyzing a Wet-Year Scenario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(a) Explain why FBMC is more physically realistic than ATC, and why ATC produces a lower total system cost. (b) Run both models on the wet-year data; compare total cost, generation dispatch, zonal prices, transmission flows, and congestion rents.</w:t>
            </w:r>
          </w:p>
        </w:tc>
      </w:tr>
    </w:tbl>
    <w:p>
      <w:pPr>
        <w:spacing w:after="80" w:before="80"/>
      </w:pPr>
    </w:p>
    <w:p>
      <w:pPr>
        <w:pStyle w:val="Heading3"/>
        <w:spacing w:after="80" w:before="200"/>
      </w:pPr>
      <w:r>
        <w:rPr>
          <w:rFonts w:ascii="Arial" w:cs="Arial" w:eastAsia="Arial" w:hAnsi="Arial"/>
          <w:b/>
          <w:bCs/>
          <w:color w:val="2471A3"/>
          <w:sz w:val="24"/>
          <w:szCs w:val="24"/>
        </w:rPr>
        <w:t xml:space="preserve">Background Concepts for This Task</w:t>
      </w:r>
    </w:p>
    <w:p>
      <w:pPr>
        <w:spacing w:after="80" w:before="60" w:line="276"/>
      </w:pPr>
      <w:r>
        <w:rPr>
          <w:rFonts w:ascii="Arial" w:cs="Arial" w:eastAsia="Arial" w:hAnsi="Arial"/>
          <w:sz w:val="22"/>
          <w:szCs w:val="22"/>
        </w:rPr>
        <w:t xml:space="preserve">In the wet year, Norwegian and Swedish hydro reservoirs are full. Total hydro generation capacity (NO4–NO5, SE1–SE2) far exceeds local demand, creating a large exportable surplus. The model must find the cheapest way to route this surplus to deficit zones (Finland, Denmark) through the transmission network.</w:t>
      </w:r>
    </w:p>
    <w:p>
      <w:pPr>
        <w:spacing w:after="80" w:before="60" w:line="276"/>
      </w:pPr>
      <w:r>
        <w:rPr>
          <w:rFonts w:ascii="Arial" w:cs="Arial" w:eastAsia="Arial" w:hAnsi="Arial"/>
          <w:sz w:val="22"/>
          <w:szCs w:val="22"/>
        </w:rPr>
        <w:t xml:space="preserve">The key tension: the cheapest path physically overloads some AC lines (loop-flow problem). FBMC detects and prevents this; ATC does not.</w:t>
      </w:r>
    </w:p>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(a) Why FBMC is more realistic and why ATC is cheaper</w:t>
      </w:r>
    </w:p>
    <w:p>
      <w:pPr>
        <w:spacing w:after="80" w:before="60" w:line="276"/>
      </w:pPr>
      <w:r>
        <w:rPr>
          <w:rFonts w:ascii="Arial" w:cs="Arial" w:eastAsia="Arial" w:hAnsi="Arial"/>
          <w:sz w:val="22"/>
          <w:szCs w:val="22"/>
        </w:rPr>
        <w:t xml:space="preserve">FBMC computes flows using PTDF sensitivities derived from the network admittance matrix. When a generator at NO5 injects power, the resulting flow distributes automatically across all parallel paths (NO5→NO2, NO5→NO1, etc.) according to electrical impedance — exactly as in reality. This means the NO5→NO2 corridor (only 600 MW capacity) can become a binding constraint even if NO5 is not directly connected to NO2 in a simple sense.</w:t>
      </w:r>
    </w:p>
    <w:p>
      <w:pPr>
        <w:spacing w:after="80" w:before="60" w:line="276"/>
      </w:pPr>
      <w:r>
        <w:rPr>
          <w:rFonts w:ascii="Arial" w:cs="Arial" w:eastAsia="Arial" w:hAnsi="Arial"/>
          <w:sz w:val="22"/>
          <w:szCs w:val="22"/>
        </w:rPr>
        <w:t xml:space="preserve">ATC treats each line as an independent pipe. The optimizer is free to send 3,900 MW on NO5→NO1 and simultaneously reverse NO2→NO1 at −1,320 MW — a dispatch pattern that FBMC correctly identifies as violating the NO5→NO2 flow limit. Because ATC faces no PTDF coupling, its feasible region is strictly larger, allowing cheaper solutions that may be physically infeasible.</w:t>
      </w:r>
    </w:p>
    <w:p>
      <w:pPr>
        <w:spacing w:after="80" w:before="80"/>
      </w:pPr>
    </w:p>
    <w:p>
      <w:pPr>
        <w:spacing w:after="60" w:before="160"/>
      </w:pPr>
      <w:r>
        <w:rPr>
          <w:rFonts w:ascii="Arial" w:cs="Arial" w:eastAsia="Arial" w:hAnsi="Arial"/>
          <w:b/>
          <w:bCs/>
          <w:color w:val="154360"/>
          <w:sz w:val="22"/>
          <w:szCs w:val="22"/>
          <w:u w:val="single"/>
        </w:rPr>
        <w:t xml:space="preserve">(b) Total system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Difference vs FBMC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FBMC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3,292,168 €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3,265,108 €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−27,060 € (−0.8%)</w:t>
            </w:r>
          </w:p>
        </w:tc>
      </w:tr>
    </w:tbl>
    <w:p>
      <w:pPr>
        <w:spacing w:after="80" w:before="60" w:line="276"/>
      </w:pPr>
      <w:r>
        <w:rPr>
          <w:rFonts w:ascii="Arial" w:cs="Arial" w:eastAsia="Arial" w:hAnsi="Arial"/>
          <w:sz w:val="22"/>
          <w:szCs w:val="22"/>
        </w:rPr>
        <w:t xml:space="preserve">The 27,060 € gap quantifies the 'price of respecting network physics' — extra cost incurred by FBMC to avoid physically overloading parallel paths.</w:t>
      </w:r>
    </w:p>
    <w:p>
      <w:pPr>
        <w:spacing w:after="80" w:before="80"/>
      </w:pPr>
    </w:p>
    <w:p>
      <w:pPr>
        <w:spacing w:after="60" w:before="160"/>
      </w:pPr>
      <w:r>
        <w:rPr>
          <w:rFonts w:ascii="Arial" w:cs="Arial" w:eastAsia="Arial" w:hAnsi="Arial"/>
          <w:b/>
          <w:bCs/>
          <w:color w:val="154360"/>
          <w:sz w:val="22"/>
          <w:szCs w:val="22"/>
          <w:u w:val="single"/>
        </w:rPr>
        <w:t xml:space="preserve">Key dispatch differences</w:t>
      </w:r>
    </w:p>
    <w:p>
      <w:pPr>
        <w:spacing w:after="80" w:before="60" w:line="276"/>
      </w:pPr>
      <w:r>
        <w:rPr>
          <w:rFonts w:ascii="Arial" w:cs="Arial" w:eastAsia="Arial" w:hAnsi="Arial"/>
          <w:sz w:val="22"/>
          <w:szCs w:val="22"/>
        </w:rPr>
        <w:t xml:space="preserve">Three zones show large differences between FBMC and ATC:</w:t>
      </w:r>
    </w:p>
    <w:p>
      <w:pPr>
        <w:pStyle w:val="ListParagraph"/>
        <w:numPr>
          <w:ilvl w:val="0"/>
          <w:numId w:val="3"/>
        </w:numPr>
        <w:spacing w:after="40" w:before="40" w:line="260"/>
      </w:pPr>
      <w:r>
        <w:rPr>
          <w:rFonts w:ascii="Arial" w:cs="Arial" w:eastAsia="Arial" w:hAnsi="Arial"/>
          <w:sz w:val="22"/>
          <w:szCs w:val="22"/>
        </w:rPr>
        <w:t xml:space="preserve">Cheap hydro zones saturate under both methods. NO4 (27 €/MWh), NO3 (38 €/MWh), SE1 and SE2 (35 €/MWh) are fully dispatched at their capacity limits regardless of method — they are always the cheapest and always used first.</w:t>
      </w:r>
    </w:p>
    <w:p>
      <w:pPr>
        <w:pStyle w:val="ListParagraph"/>
        <w:numPr>
          <w:ilvl w:val="0"/>
          <w:numId w:val="3"/>
        </w:numPr>
        <w:spacing w:after="40" w:before="40" w:line="260"/>
      </w:pPr>
      <w:r>
        <w:rPr>
          <w:rFonts w:ascii="Arial" w:cs="Arial" w:eastAsia="Arial" w:hAnsi="Arial"/>
          <w:sz w:val="22"/>
          <w:szCs w:val="22"/>
        </w:rPr>
        <w:t xml:space="preserve">NO5 vs NO2 — the main dispatch difference. Under ATC, NO5 is fully dispatched at 6,500 MW. Under FBMC, the NO5→NO2 AC corridor (600 MW capacity) binds under PTDF physics, limiting NO5 to 4,949 MW. The 1,551 MW shortfall is compensated by NO2 (77 €/MWh), which rises from 5,912 MW (ATC) to 8,227 MW (FBMC). This is exactly why FBMC costs more: it forces the use of a more expensive generator.</w:t>
      </w:r>
    </w:p>
    <w:p>
      <w:pPr>
        <w:pStyle w:val="ListParagraph"/>
        <w:numPr>
          <w:ilvl w:val="0"/>
          <w:numId w:val="3"/>
        </w:numPr>
        <w:spacing w:after="40" w:before="40" w:line="260"/>
      </w:pPr>
      <w:r>
        <w:rPr>
          <w:rFonts w:ascii="Arial" w:cs="Arial" w:eastAsia="Arial" w:hAnsi="Arial"/>
          <w:sz w:val="22"/>
          <w:szCs w:val="22"/>
        </w:rPr>
        <w:t xml:space="preserve">SE4 drops under FBMC. Once loop flows are accounted for, cheaper imports via SE3→SE4 serve SE4 demand more efficiently, reducing local generation from 1,600 MW (ATC) to 836 MW (FBMC).</w:t>
      </w:r>
    </w:p>
    <w:p>
      <w:pPr>
        <w:spacing w:after="80" w:before="80"/>
      </w:pPr>
    </w:p>
    <w:p>
      <w:pPr>
        <w:spacing w:after="60" w:before="160"/>
      </w:pPr>
      <w:r>
        <w:rPr>
          <w:rFonts w:ascii="Arial" w:cs="Arial" w:eastAsia="Arial" w:hAnsi="Arial"/>
          <w:b/>
          <w:bCs/>
          <w:color w:val="154360"/>
          <w:sz w:val="22"/>
          <w:szCs w:val="22"/>
          <w:u w:val="single"/>
        </w:rPr>
        <w:t xml:space="preserve">Zonal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Zone</w:t>
            </w:r>
          </w:p>
        </w:tc>
        <w:tc>
          <w:tcPr>
            <w:tcW w:type="dxa" w:w="34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FBMC Price (€/MWh)</w:t>
            </w:r>
          </w:p>
        </w:tc>
        <w:tc>
          <w:tcPr>
            <w:tcW w:type="dxa" w:w="34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ATC Price (€/MWh)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NO4</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62.49</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NO3</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63.74</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NO5</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NO2</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72.72</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SE2</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69.41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SE3</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SE4</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77.00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DK1</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DK2</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93.00</w:t>
            </w:r>
          </w:p>
        </w:tc>
      </w:tr>
    </w:tbl>
    <w:p>
      <w:pPr>
        <w:spacing w:after="80" w:before="60" w:line="276"/>
      </w:pPr>
      <w:r>
        <w:rPr>
          <w:rFonts w:ascii="Arial" w:cs="Arial" w:eastAsia="Arial" w:hAnsi="Arial"/>
          <w:sz w:val="22"/>
          <w:szCs w:val="22"/>
        </w:rPr>
        <w:t xml:space="preserve">Under ATC, the absence of PTDF coupling means NO2 (77 €/MWh) sets the price across all Scandinavian/Finnish zones. FBMC produces internal congestion: Norwegian zones range from 62–77 €/MWh, Swedish/Finnish zones cluster around 69–70 €/MWh. Only Denmark holds at 93 €/MWh in both methods.</w:t>
      </w:r>
    </w:p>
    <w:p>
      <w:pPr>
        <w:spacing w:after="80" w:before="80"/>
      </w:pPr>
    </w:p>
    <w:p>
      <w:pPr>
        <w:spacing w:after="60" w:before="160"/>
      </w:pPr>
      <w:r>
        <w:rPr>
          <w:rFonts w:ascii="Arial" w:cs="Arial" w:eastAsia="Arial" w:hAnsi="Arial"/>
          <w:b/>
          <w:bCs/>
          <w:color w:val="154360"/>
          <w:sz w:val="22"/>
          <w:szCs w:val="22"/>
          <w:u w:val="single"/>
        </w:rPr>
        <w:t xml:space="preserve">Binding AC lines and congestion rents (FBMC)</w:t>
      </w:r>
    </w:p>
    <w:p>
      <w:pPr>
        <w:spacing w:after="80" w:before="60" w:line="276"/>
      </w:pPr>
      <w:r>
        <w:rPr>
          <w:rFonts w:ascii="Arial" w:cs="Arial" w:eastAsia="Arial" w:hAnsi="Arial"/>
          <w:sz w:val="22"/>
          <w:szCs w:val="22"/>
        </w:rPr>
        <w:t xml:space="preserve">Five AC lines are binding under FBMC: NO4→SE1 (700 MW), NO3→NO1 (500 MW), NO5→NO2 (600 MW), SE4→DK2 (1,300 MW), and SE3→DK1 (680 MW), plus the NO2→DK1 and DK1→DK2 HVDC links at capacity.</w:t>
      </w:r>
    </w:p>
    <w:p>
      <w:pPr>
        <w:spacing w:after="80" w:before="60" w:line="276"/>
      </w:pPr>
      <w:r>
        <w:rPr>
          <w:rFonts w:ascii="Arial" w:cs="Arial" w:eastAsia="Arial" w:hAnsi="Arial"/>
          <w:sz w:val="22"/>
          <w:szCs w:val="22"/>
        </w:rPr>
        <w:t xml:space="preserve">Total FBMC congestion rent: 107,258 €. Under ATC only Danish interconnectors generate rent (total 57,792 €) because all mainland zones share the same 77 €/MWh price.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FBMC and ATC use identical line ratings in this model. The reason FBMC does not beat ATC on cost is that the conditions for FBMC's theoretical advantage are absent: ATC limits are not set conservatively (no safety margins to guard against loop flows), so ATC is never penalised for the loop-flow approximation. In a real market with TSO-set NTC margins, FBMC typically exposes additional feasible capacity that ATC locks away.</w:t>
            </w:r>
          </w:p>
        </w:tc>
      </w:tr>
    </w:tbl>
    <w:p>
      <w:pPr>
        <w:spacing w:after="80" w:before="80"/>
      </w:pPr>
    </w:p>
    <w:p>
      <w:r>
        <w:br w:type="page"/>
      </w:r>
    </w:p>
    <w:p>
      <w:pPr>
        <w:pStyle w:val="Heading2"/>
        <w:spacing w:after="100" w:before="280"/>
      </w:pPr>
      <w:r>
        <w:rPr>
          <w:rFonts w:ascii="Arial" w:cs="Arial" w:eastAsia="Arial" w:hAnsi="Arial"/>
          <w:b/>
          <w:bCs/>
          <w:color w:val="1F618D"/>
          <w:sz w:val="28"/>
          <w:szCs w:val="28"/>
        </w:rPr>
        <w:t xml:space="preserve">Task 3-3 — Dry-Year Scenario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(a) Run both FBMC and ATC for the dry year; compare dispatch and prices. (b) Compare AC transmission flows and congestion rents between methods. (c) Compare FBMC zonal prices and net positions between wet and dry year; discuss the role of interconnection.</w:t>
            </w:r>
          </w:p>
        </w:tc>
      </w:tr>
    </w:tbl>
    <w:p>
      <w:pPr>
        <w:spacing w:after="80" w:before="80"/>
      </w:pPr>
    </w:p>
    <w:p>
      <w:pPr>
        <w:pStyle w:val="Heading3"/>
        <w:spacing w:after="80" w:before="200"/>
      </w:pPr>
      <w:r>
        <w:rPr>
          <w:rFonts w:ascii="Arial" w:cs="Arial" w:eastAsia="Arial" w:hAnsi="Arial"/>
          <w:b/>
          <w:bCs/>
          <w:color w:val="2471A3"/>
          <w:sz w:val="24"/>
          <w:szCs w:val="24"/>
        </w:rPr>
        <w:t xml:space="preserve">Background</w:t>
      </w:r>
    </w:p>
    <w:p>
      <w:pPr>
        <w:spacing w:after="80" w:before="60" w:line="276"/>
      </w:pPr>
      <w:r>
        <w:rPr>
          <w:rFonts w:ascii="Arial" w:cs="Arial" w:eastAsia="Arial" w:hAnsi="Arial"/>
          <w:sz w:val="22"/>
          <w:szCs w:val="22"/>
        </w:rPr>
        <w:t xml:space="preserve">In a dry year, Norwegian hydro inflow drops sharply. The wet-year surplus evaporates: where NO5 had 6,500 MW of capacity, it now has only 3,400 MW. Total Nordic generation capacity barely meets total demand. The system goes from 'cheap hydro surplus' to 'near-scarcity', forcing greater reliance on expensive thermal and Danish generation.</w:t>
      </w:r>
    </w:p>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(a) Dispatch and prices</w:t>
      </w:r>
    </w:p>
    <w:p>
      <w:pPr>
        <w:spacing w:after="80" w:before="60" w:line="276"/>
      </w:pPr>
      <w:r>
        <w:rPr>
          <w:rFonts w:ascii="Arial" w:cs="Arial" w:eastAsia="Arial" w:hAnsi="Arial"/>
          <w:sz w:val="22"/>
          <w:szCs w:val="22"/>
        </w:rPr>
        <w:t xml:space="preserve">Nine of twelve zones run at full capacity under FBMC (NO4, NO5, NO2, NO1, SE1, SE2, SE3, SE4, FI). Only NO3 retains 71 MW of spare capacity (3,229 of 3,300 MW), constrained by the binding NO3→NO1 line. Denmark has headroom because the NO2→DK1 HVDC reverses direction — Denmark now exports to Norway instead of importing.</w:t>
      </w:r>
    </w:p>
    <w:p>
      <w:pPr>
        <w:spacing w:after="80" w:before="60" w:line="276"/>
      </w:pPr>
      <w:r>
        <w:rPr>
          <w:rFonts w:ascii="Arial" w:cs="Arial" w:eastAsia="Arial" w:hAnsi="Arial"/>
          <w:sz w:val="22"/>
          <w:szCs w:val="22"/>
        </w:rPr>
        <w:t xml:space="preserve">Total system cost rises by roughly 54% compared to the wet year (5,062,341 € FBMC vs 3,292,168 €). Under ATC, a single uniform price of 114 €/MWh applies to all twelve zones. Under FBMC, multiple congested lines create price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Zone(s)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FBMC Price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78 €/MWh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Only zone below capacity; demand served locally at marginal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85.27 €/MWh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 capacity; congested export lines raise price above its 52 €/MWh marginal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SE1, SE2, SE3, SE4, 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92–98 €/MWh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at capacity; price reflects import cost through congested AC network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NO5, NO2, NO1, DK1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114 €/MWh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Expensive Danish thermal sets marginal price for this cluster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108 €/MWh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Isolated from 114 €/MWh cluster by binding SE4→DK2 line</w:t>
            </w:r>
          </w:p>
        </w:tc>
      </w:tr>
    </w:tbl>
    <w:p>
      <w:pPr>
        <w:spacing w:after="80" w:before="80"/>
      </w:pPr>
    </w:p>
    <w:p>
      <w:pPr>
        <w:spacing w:after="60" w:before="160"/>
      </w:pPr>
      <w:r>
        <w:rPr>
          <w:rFonts w:ascii="Arial" w:cs="Arial" w:eastAsia="Arial" w:hAnsi="Arial"/>
          <w:b/>
          <w:bCs/>
          <w:color w:val="154360"/>
          <w:sz w:val="22"/>
          <w:szCs w:val="22"/>
          <w:u w:val="single"/>
        </w:rPr>
        <w:t xml:space="preserve">(b) Transmission flows and congestion rents</w:t>
      </w:r>
    </w:p>
    <w:p>
      <w:pPr>
        <w:spacing w:after="80" w:before="60" w:line="276"/>
      </w:pPr>
      <w:r>
        <w:rPr>
          <w:rFonts w:ascii="Arial" w:cs="Arial" w:eastAsia="Arial" w:hAnsi="Arial"/>
          <w:sz w:val="22"/>
          <w:szCs w:val="22"/>
        </w:rPr>
        <w:t xml:space="preserve">Under FBMC, four AC lines bind: NO3→NO1 (500 MW), SE1→FI (1,500 MW), SE4→DK2 (1,300 MW), and SE3→DK1 (680 MW). The NO4→SE1 and NO5→NO2 corridors are released (they were binding in the wet year because of the large hydro surplus; in the dry year there is simply less power to push through them).</w:t>
      </w:r>
    </w:p>
    <w:p>
      <w:pPr>
        <w:spacing w:after="80" w:before="60" w:line="276"/>
      </w:pPr>
      <w:r>
        <w:rPr>
          <w:rFonts w:ascii="Arial" w:cs="Arial" w:eastAsia="Arial" w:hAnsi="Arial"/>
          <w:sz w:val="22"/>
          <w:szCs w:val="22"/>
        </w:rPr>
        <w:t xml:space="preserve">The most notable flow changes vs wet year:</w:t>
      </w:r>
    </w:p>
    <w:p>
      <w:pPr>
        <w:pStyle w:val="ListParagraph"/>
        <w:numPr>
          <w:ilvl w:val="0"/>
          <w:numId w:val="2"/>
        </w:numPr>
        <w:spacing w:after="40" w:before="40" w:line="260"/>
      </w:pPr>
      <w:r>
        <w:rPr>
          <w:rFonts w:ascii="Arial" w:cs="Arial" w:eastAsia="Arial" w:hAnsi="Arial"/>
          <w:sz w:val="22"/>
          <w:szCs w:val="22"/>
        </w:rPr>
        <w:t xml:space="preserve">NO2→DK1 HVDC reverses: wet-year export of 1,632 MW flips to −651 MW. Denmark becomes a net exporter to Norway.</w:t>
      </w:r>
    </w:p>
    <w:p>
      <w:pPr>
        <w:pStyle w:val="ListParagraph"/>
        <w:numPr>
          <w:ilvl w:val="0"/>
          <w:numId w:val="2"/>
        </w:numPr>
        <w:spacing w:after="40" w:before="40" w:line="260"/>
      </w:pPr>
      <w:r>
        <w:rPr>
          <w:rFonts w:ascii="Arial" w:cs="Arial" w:eastAsia="Arial" w:hAnsi="Arial"/>
          <w:sz w:val="22"/>
          <w:szCs w:val="22"/>
        </w:rPr>
        <w:t xml:space="preserve">NO1→SE3 reverses: a modest +144 MW flow becomes −1,149 MW as SE3 exports heavily to compensate for reduced Norwegian hydro.</w:t>
      </w:r>
    </w:p>
    <w:p>
      <w:pPr>
        <w:pStyle w:val="ListParagraph"/>
        <w:numPr>
          <w:ilvl w:val="0"/>
          <w:numId w:val="2"/>
        </w:numPr>
        <w:spacing w:after="40" w:before="40" w:line="260"/>
      </w:pPr>
      <w:r>
        <w:rPr>
          <w:rFonts w:ascii="Arial" w:cs="Arial" w:eastAsia="Arial" w:hAnsi="Arial"/>
          <w:sz w:val="22"/>
          <w:szCs w:val="22"/>
        </w:rPr>
        <w:t xml:space="preserve">NO5→NO2 reverses: wet-year +600 MW surplus flow becomes −101 MW.</w:t>
      </w:r>
    </w:p>
    <w:p>
      <w:pPr>
        <w:pStyle w:val="ListParagraph"/>
        <w:numPr>
          <w:ilvl w:val="0"/>
          <w:numId w:val="2"/>
        </w:numPr>
        <w:spacing w:after="40" w:before="40" w:line="260"/>
      </w:pPr>
      <w:r>
        <w:rPr>
          <w:rFonts w:ascii="Arial" w:cs="Arial" w:eastAsia="Arial" w:hAnsi="Arial"/>
          <w:sz w:val="22"/>
          <w:szCs w:val="22"/>
        </w:rPr>
        <w:t xml:space="preserve">SE2→SE3 remains the dominant corridor in both years (7,285 → 6,629 MW), still the largest single flow in the system.</w:t>
      </w:r>
    </w:p>
    <w:p>
      <w:pPr>
        <w:spacing w:after="80" w:before="60" w:line="276"/>
      </w:pPr>
      <w:r>
        <w:rPr>
          <w:rFonts w:ascii="Arial" w:cs="Arial" w:eastAsia="Arial" w:hAnsi="Arial"/>
          <w:sz w:val="22"/>
          <w:szCs w:val="22"/>
        </w:rPr>
        <w:t xml:space="preserve">Under ATC: zero congestion rent (uniform 114 €/MWh leaves no price differential). Under FBMC: total congestion rent is 87,972 €, lower than the wet-year figure (107,258 €) despite higher absolute prices — the wet year's large spread between cheap NO zones and Denmark compressed in the dry year.</w:t>
      </w:r>
    </w:p>
    <w:p>
      <w:pPr>
        <w:spacing w:after="80" w:before="80"/>
      </w:pPr>
    </w:p>
    <w:p>
      <w:pPr>
        <w:spacing w:after="60" w:before="160"/>
      </w:pPr>
      <w:r>
        <w:rPr>
          <w:rFonts w:ascii="Arial" w:cs="Arial" w:eastAsia="Arial" w:hAnsi="Arial"/>
          <w:b/>
          <w:bCs/>
          <w:color w:val="154360"/>
          <w:sz w:val="22"/>
          <w:szCs w:val="22"/>
          <w:u w:val="single"/>
        </w:rPr>
        <w:t xml:space="preserve">(c) Wet vs dry year comparison and role of interconnection</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600"/>
        <w:gridCol w:w="1600"/>
        <w:gridCol w:w="1280"/>
        <w:gridCol w:w="96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Country</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Net Position (Wet)</w:t>
            </w:r>
          </w:p>
        </w:tc>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Net Position (Dry)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Price (Wet)</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Price (Dry)</w:t>
            </w:r>
          </w:p>
        </w:tc>
        <w:tc>
          <w:tcPr>
            <w:tcW w:type="dxa" w:w="1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Price Change</w:t>
            </w:r>
          </w:p>
        </w:tc>
        <w:tc>
          <w:tcPr>
            <w:tcW w:type="dxa" w:w="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Change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Norway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+3,076 MW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−1,871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69.7 €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103.7 €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+34.0 €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Sweden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+2,236 MW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+4,900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69.9 €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97.1 €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+27.1 €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Finland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−1,700 MW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−1,700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97.8 €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+27.8 €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Denmark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−3,612 MW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−1,329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111.6 €</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+18.6 €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r>
    </w:tbl>
    <w:p>
      <w:pPr>
        <w:spacing w:after="80" w:before="60" w:line="276"/>
      </w:pPr>
      <w:r>
        <w:rPr>
          <w:rFonts w:ascii="Arial" w:cs="Arial" w:eastAsia="Arial" w:hAnsi="Arial"/>
          <w:sz w:val="22"/>
          <w:szCs w:val="22"/>
        </w:rPr>
        <w:t xml:space="preserve">Norway's 49% price increase is by far the largest — its mix is almost entirely hydropower, so reduced inflow directly removes its cheapest capacity. Denmark's 20% increase is the smallest since its thermal mix is unaffected by hydro conditions.</w:t>
      </w:r>
    </w:p>
    <w:p>
      <w:pPr>
        <w:spacing w:after="80" w:before="60" w:line="276"/>
      </w:pPr>
      <w:r>
        <w:rPr>
          <w:rFonts w:ascii="Arial" w:cs="Arial" w:eastAsia="Arial" w:hAnsi="Arial"/>
          <w:sz w:val="22"/>
          <w:szCs w:val="22"/>
        </w:rPr>
        <w:t xml:space="preserve">Interconnection plays a critical but different role in each year:</w:t>
      </w:r>
    </w:p>
    <w:p>
      <w:pPr>
        <w:pStyle w:val="ListParagraph"/>
        <w:numPr>
          <w:ilvl w:val="0"/>
          <w:numId w:val="2"/>
        </w:numPr>
        <w:spacing w:after="40" w:before="40" w:line="260"/>
      </w:pPr>
      <w:r>
        <w:rPr>
          <w:rFonts w:ascii="Arial" w:cs="Arial" w:eastAsia="Arial" w:hAnsi="Arial"/>
          <w:sz w:val="22"/>
          <w:szCs w:val="22"/>
        </w:rPr>
        <w:t xml:space="preserve">Wet year: Norway's 3,076 MW surplus cannot be absorbed domestically. Without interconnectors, cheap hydro would be curtailed and neighbours would rely on expensive generation. Cross-border capacity converts surplus into exports and earns congestion rent revenue.</w:t>
      </w:r>
    </w:p>
    <w:p>
      <w:pPr>
        <w:pStyle w:val="ListParagraph"/>
        <w:numPr>
          <w:ilvl w:val="0"/>
          <w:numId w:val="2"/>
        </w:numPr>
        <w:spacing w:after="40" w:before="40" w:line="260"/>
      </w:pPr>
      <w:r>
        <w:rPr>
          <w:rFonts w:ascii="Arial" w:cs="Arial" w:eastAsia="Arial" w:hAnsi="Arial"/>
          <w:sz w:val="22"/>
          <w:szCs w:val="22"/>
        </w:rPr>
        <w:t xml:space="preserve">Dry year: Norway's 1,871 MW deficit requires imports for supply security. Without interconnectors, load shedding at 3,200 €/MWh would be unavoidable. The reversed NO2→DK1 flow (−651 MW) and SE3→NO1 imports (−1,149 MW) function as security-of-supply lifelines.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Interconnection acts as a buffer in both directions. In wet years it exports cheap surplus; in dry years it imports expensive backup capacity. Norway's outsized price volatility (+49%) confirms that a largely hydro-dependent country is especially exposed to seasonal weather — and especially dependent on cross-border links.</w:t>
            </w:r>
          </w:p>
        </w:tc>
      </w:tr>
    </w:tbl>
    <w:p>
      <w:pPr>
        <w:spacing w:after="80" w:before="80"/>
      </w:pPr>
    </w:p>
    <w:p>
      <w:r>
        <w:br w:type="page"/>
      </w:r>
    </w:p>
    <w:p>
      <w:pPr>
        <w:pStyle w:val="Heading2"/>
        <w:spacing w:after="100" w:before="280"/>
      </w:pPr>
      <w:r>
        <w:rPr>
          <w:rFonts w:ascii="Arial" w:cs="Arial" w:eastAsia="Arial" w:hAnsi="Arial"/>
          <w:b/>
          <w:bCs/>
          <w:color w:val="1F618D"/>
          <w:sz w:val="28"/>
          <w:szCs w:val="28"/>
        </w:rPr>
        <w:t xml:space="preserve">Task 3-4 — Phasing Out Baseload Production (Nuclear)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(a) Remove all 8,400 MW of nuclear capacity from SE3 and re-run FBMC. How does total system cost change? (b) Which zones increase/decrease generation to compensate? (c) How do zonal prices change? (d) What policy measures should precede such a phaseout?</w:t>
            </w:r>
          </w:p>
        </w:tc>
      </w:tr>
    </w:tbl>
    <w:p>
      <w:pPr>
        <w:spacing w:after="80" w:before="80"/>
      </w:pPr>
    </w:p>
    <w:p>
      <w:pPr>
        <w:pStyle w:val="Heading3"/>
        <w:spacing w:after="80" w:before="200"/>
      </w:pPr>
      <w:r>
        <w:rPr>
          <w:rFonts w:ascii="Arial" w:cs="Arial" w:eastAsia="Arial" w:hAnsi="Arial"/>
          <w:b/>
          <w:bCs/>
          <w:color w:val="2471A3"/>
          <w:sz w:val="24"/>
          <w:szCs w:val="24"/>
        </w:rPr>
        <w:t xml:space="preserve">Background</w:t>
      </w:r>
    </w:p>
    <w:p>
      <w:pPr>
        <w:spacing w:after="80" w:before="60" w:line="276"/>
      </w:pPr>
      <w:r>
        <w:rPr>
          <w:rFonts w:ascii="Arial" w:cs="Arial" w:eastAsia="Arial" w:hAnsi="Arial"/>
          <w:sz w:val="22"/>
          <w:szCs w:val="22"/>
        </w:rPr>
        <w:t xml:space="preserve">SE3 (South Sweden) holds 12,400 MW of generation capacity in the base case. Of this, 8,400 MW is nuclear baseload running at very low cost (55 €/MWh for the full zone). Nuclear provides 20.5% of total Nordic generation. Removing it is equivalent to a political decision to phase out nuclear — as several Nordic countries have considered. The question is what happens to prices, security of supply, and system cost when this large block of cheap generation disappears suddenly.</w:t>
      </w:r>
    </w:p>
    <w:p>
      <w:pPr>
        <w:spacing w:after="80" w:before="60" w:line="276"/>
      </w:pPr>
      <w:r>
        <w:rPr>
          <w:rFonts w:ascii="Arial" w:cs="Arial" w:eastAsia="Arial" w:hAnsi="Arial"/>
          <w:sz w:val="22"/>
          <w:szCs w:val="22"/>
        </w:rPr>
        <w:t xml:space="preserve">Critically: the base case has zero reserve margin. Total installed capacity (60,600 MW) exactly equals total demand. Removing 8,400 MW of capacity creates an irrecoverable gap — no matter how the network is operated, the system cannot meet total demand after the phaseout.</w:t>
      </w:r>
    </w:p>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(a) Total system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Scenario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 case (wet year)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3,292,168 €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Nuclear phaseout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12,454,629 €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+9,162,462 € (+278%)</w:t>
            </w:r>
          </w:p>
        </w:tc>
      </w:tr>
    </w:tbl>
    <w:p>
      <w:pPr>
        <w:spacing w:after="80" w:before="60" w:line="276"/>
      </w:pPr>
      <w:r>
        <w:rPr>
          <w:rFonts w:ascii="Arial" w:cs="Arial" w:eastAsia="Arial" w:hAnsi="Arial"/>
          <w:sz w:val="22"/>
          <w:szCs w:val="22"/>
        </w:rPr>
        <w:t xml:space="preserve">The 278% cost increase is almost entirely driven by load shedding (2,862 MW shed at 3,200 €/MWh = 9,158,400 € in shedding cost). The rest of the dispatch only changes modestly.</w:t>
      </w:r>
    </w:p>
    <w:p>
      <w:pPr>
        <w:spacing w:after="80" w:before="80"/>
      </w:pPr>
    </w:p>
    <w:p>
      <w:pPr>
        <w:spacing w:after="60" w:before="160"/>
      </w:pPr>
      <w:r>
        <w:rPr>
          <w:rFonts w:ascii="Arial" w:cs="Arial" w:eastAsia="Arial" w:hAnsi="Arial"/>
          <w:b/>
          <w:bCs/>
          <w:color w:val="154360"/>
          <w:sz w:val="22"/>
          <w:szCs w:val="22"/>
          <w:u w:val="single"/>
        </w:rPr>
        <w:t xml:space="preserve">(b) How the system tries to compensate</w:t>
      </w:r>
    </w:p>
    <w:p>
      <w:pPr>
        <w:spacing w:after="80" w:before="60" w:line="276"/>
      </w:pPr>
      <w:r>
        <w:rPr>
          <w:rFonts w:ascii="Arial" w:cs="Arial" w:eastAsia="Arial" w:hAnsi="Arial"/>
          <w:sz w:val="22"/>
          <w:szCs w:val="22"/>
        </w:rPr>
        <w:t xml:space="preserve">Even with every remaining generator at full output, the system is 8,400 MW short. Transmission constraints prevent full utilisation of remaining capacity, so actual load shedding (2,862 MW) is smaller than the raw capacity gap. Replacement power comes from:</w:t>
      </w:r>
    </w:p>
    <w:p>
      <w:pPr>
        <w:pStyle w:val="ListParagraph"/>
        <w:numPr>
          <w:ilvl w:val="0"/>
          <w:numId w:val="3"/>
        </w:numPr>
        <w:spacing w:after="40" w:before="40" w:line="260"/>
      </w:pPr>
      <w:r>
        <w:rPr>
          <w:rFonts w:ascii="Arial" w:cs="Arial" w:eastAsia="Arial" w:hAnsi="Arial"/>
          <w:sz w:val="22"/>
          <w:szCs w:val="22"/>
        </w:rPr>
        <w:t xml:space="preserve">NO2 (Southern Norway) increases by +1,678 MW (to 9,905 MW) — has the most spare hydro capacity and best electrical connectivity to SE3 via NO2→NO1→SE3.</w:t>
      </w:r>
    </w:p>
    <w:p>
      <w:pPr>
        <w:pStyle w:val="ListParagraph"/>
        <w:numPr>
          <w:ilvl w:val="0"/>
          <w:numId w:val="3"/>
        </w:numPr>
        <w:spacing w:after="40" w:before="40" w:line="260"/>
      </w:pPr>
      <w:r>
        <w:rPr>
          <w:rFonts w:ascii="Arial" w:cs="Arial" w:eastAsia="Arial" w:hAnsi="Arial"/>
          <w:sz w:val="22"/>
          <w:szCs w:val="22"/>
        </w:rPr>
        <w:t xml:space="preserve">DK1 and DK2 (Denmark) ramp up by +1,420 and +1,200 MW respectively — previously net importers, now generating expensive thermal (93 €/MWh) to export toward Sweden.</w:t>
      </w:r>
    </w:p>
    <w:p>
      <w:pPr>
        <w:pStyle w:val="ListParagraph"/>
        <w:numPr>
          <w:ilvl w:val="0"/>
          <w:numId w:val="3"/>
        </w:numPr>
        <w:spacing w:after="40" w:before="40" w:line="260"/>
      </w:pPr>
      <w:r>
        <w:rPr>
          <w:rFonts w:ascii="Arial" w:cs="Arial" w:eastAsia="Arial" w:hAnsi="Arial"/>
          <w:sz w:val="22"/>
          <w:szCs w:val="22"/>
        </w:rPr>
        <w:t xml:space="preserve">NO5 (Western Norway) increases by +739 MW — draws on unused hydro; powers NO5→NO1→SE3 corridor.</w:t>
      </w:r>
    </w:p>
    <w:p>
      <w:pPr>
        <w:pStyle w:val="ListParagraph"/>
        <w:numPr>
          <w:ilvl w:val="0"/>
          <w:numId w:val="3"/>
        </w:numPr>
        <w:spacing w:after="40" w:before="40" w:line="260"/>
      </w:pPr>
      <w:r>
        <w:rPr>
          <w:rFonts w:ascii="Arial" w:cs="Arial" w:eastAsia="Arial" w:hAnsi="Arial"/>
          <w:sz w:val="22"/>
          <w:szCs w:val="22"/>
        </w:rPr>
        <w:t xml:space="preserve">SE4 reaches full capacity (+764 MW, to 1,600 MW) — but cannot cover its own 4,000 MW demand, and SE3→SE4 drops to zero.</w:t>
      </w:r>
    </w:p>
    <w:p>
      <w:pPr>
        <w:spacing w:after="80" w:before="60" w:line="276"/>
      </w:pPr>
      <w:r>
        <w:rPr>
          <w:rFonts w:ascii="Arial" w:cs="Arial" w:eastAsia="Arial" w:hAnsi="Arial"/>
          <w:sz w:val="22"/>
          <w:szCs w:val="22"/>
        </w:rPr>
        <w:t xml:space="preserve">NO4 and NO3 actually decrease slightly (−231 and −33 MW): PTDF constraints mean increasing output there would overload parallel paths, so the optimizer shifts to zones with better electrical access to the deficit.</w:t>
      </w:r>
    </w:p>
    <w:p>
      <w:pPr>
        <w:spacing w:after="80" w:before="80"/>
      </w:pPr>
    </w:p>
    <w:p>
      <w:pPr>
        <w:spacing w:after="60" w:before="160"/>
      </w:pPr>
      <w:r>
        <w:rPr>
          <w:rFonts w:ascii="Arial" w:cs="Arial" w:eastAsia="Arial" w:hAnsi="Arial"/>
          <w:b/>
          <w:bCs/>
          <w:color w:val="154360"/>
          <w:sz w:val="22"/>
          <w:szCs w:val="22"/>
          <w:u w:val="single"/>
        </w:rPr>
        <w:t xml:space="preserve">(c) Zonal price impacts</w:t>
      </w:r>
    </w:p>
    <w:p>
      <w:pPr>
        <w:spacing w:after="80" w:before="60" w:line="276"/>
      </w:pPr>
      <w:r>
        <w:rPr>
          <w:rFonts w:ascii="Arial" w:cs="Arial" w:eastAsia="Arial" w:hAnsi="Arial"/>
          <w:sz w:val="22"/>
          <w:szCs w:val="22"/>
        </w:rPr>
        <w:t xml:space="preserve">The phaseout splits the system into two sharply separated price clusters:</w:t>
      </w:r>
    </w:p>
    <w:p>
      <w:pPr>
        <w:pStyle w:val="ListParagraph"/>
        <w:numPr>
          <w:ilvl w:val="0"/>
          <w:numId w:val="2"/>
        </w:numPr>
        <w:spacing w:after="40" w:before="40" w:line="260"/>
      </w:pPr>
      <w:r>
        <w:rPr>
          <w:rFonts w:ascii="Arial" w:cs="Arial" w:eastAsia="Arial" w:hAnsi="Arial"/>
          <w:sz w:val="22"/>
          <w:szCs w:val="22"/>
        </w:rPr>
        <w:t xml:space="preserve">Shedding-price zones (≈3,200 €/MWh): SE1, SE2, SE3, SE4, FI, and DK2. Even SE1 and SE2, which do not shed load themselves, price at near-shedding levels because an additional MW of demand there would increase flows toward SE4 or FI, triggering more shedding.</w:t>
      </w:r>
    </w:p>
    <w:p>
      <w:pPr>
        <w:pStyle w:val="ListParagraph"/>
        <w:numPr>
          <w:ilvl w:val="0"/>
          <w:numId w:val="2"/>
        </w:numPr>
        <w:spacing w:after="40" w:before="40" w:line="260"/>
      </w:pPr>
      <w:r>
        <w:rPr>
          <w:rFonts w:ascii="Arial" w:cs="Arial" w:eastAsia="Arial" w:hAnsi="Arial"/>
          <w:sz w:val="22"/>
          <w:szCs w:val="22"/>
        </w:rPr>
        <w:t xml:space="preserve">Low-price zones (27–93 €/MWh): Norwegian zones (NO4: 27, NO3: 38, NO5: 63, NO2: 77, NO1: 73 €/MWh) and DK1 at 93 €/MWh. These are separated from the shedding cluster by the saturated NO1→SE3 and NO4→SE1 corridors.</w:t>
      </w:r>
    </w:p>
    <w:p>
      <w:pPr>
        <w:spacing w:after="80" w:before="60" w:line="276"/>
      </w:pPr>
      <w:r>
        <w:rPr>
          <w:rFonts w:ascii="Arial" w:cs="Arial" w:eastAsia="Arial" w:hAnsi="Arial"/>
          <w:sz w:val="22"/>
          <w:szCs w:val="22"/>
        </w:rPr>
        <w:t xml:space="preserve">Norwegian consumers are shielded by the congested interconnector: Norway exports everything it can, but the saturated NO1→SE3 line prevents the Swedish supply crisis from reaching Norwegian prices. For Swedish, Finnish, and southern Danish consumers, prices increase by a factor of 45 (70 → 3,200 €/MWh).</w:t>
      </w:r>
    </w:p>
    <w:p>
      <w:pPr>
        <w:spacing w:after="80" w:before="80"/>
      </w:pPr>
    </w:p>
    <w:p>
      <w:pPr>
        <w:spacing w:after="60" w:before="160"/>
      </w:pPr>
      <w:r>
        <w:rPr>
          <w:rFonts w:ascii="Arial" w:cs="Arial" w:eastAsia="Arial" w:hAnsi="Arial"/>
          <w:b/>
          <w:bCs/>
          <w:color w:val="154360"/>
          <w:sz w:val="22"/>
          <w:szCs w:val="22"/>
          <w:u w:val="single"/>
        </w:rPr>
        <w:t xml:space="preserve">(d) Policy measures required before a phaseout</w:t>
      </w:r>
    </w:p>
    <w:p>
      <w:pPr>
        <w:spacing w:after="80" w:before="60" w:line="276"/>
      </w:pPr>
      <w:r>
        <w:rPr>
          <w:rFonts w:ascii="Arial" w:cs="Arial" w:eastAsia="Arial" w:hAnsi="Arial"/>
          <w:sz w:val="22"/>
          <w:szCs w:val="22"/>
        </w:rPr>
        <w:t xml:space="preserve">The results show a sudden phaseout without preparation is catastrophic. Four preconditions are necessary:</w:t>
      </w:r>
    </w:p>
    <w:p>
      <w:pPr>
        <w:pStyle w:val="ListParagraph"/>
        <w:numPr>
          <w:ilvl w:val="0"/>
          <w:numId w:val="3"/>
        </w:numPr>
        <w:spacing w:after="40" w:before="40" w:line="260"/>
      </w:pPr>
      <w:r>
        <w:rPr>
          <w:rFonts w:ascii="Arial" w:cs="Arial" w:eastAsia="Arial" w:hAnsi="Arial"/>
          <w:sz w:val="22"/>
          <w:szCs w:val="22"/>
        </w:rPr>
        <w:t xml:space="preserve">New capacity near the deficit zone. Total capacity falls below demand; extra generation must be built in or near SE3, not added system-wide (distance and transmission constraints prevent far-away capacity from reaching SE4 and Finland).</w:t>
      </w:r>
    </w:p>
    <w:p>
      <w:pPr>
        <w:pStyle w:val="ListParagraph"/>
        <w:numPr>
          <w:ilvl w:val="0"/>
          <w:numId w:val="3"/>
        </w:numPr>
        <w:spacing w:after="40" w:before="40" w:line="260"/>
      </w:pPr>
      <w:r>
        <w:rPr>
          <w:rFonts w:ascii="Arial" w:cs="Arial" w:eastAsia="Arial" w:hAnsi="Arial"/>
          <w:sz w:val="22"/>
          <w:szCs w:val="22"/>
        </w:rPr>
        <w:t xml:space="preserve">Transmission reinforcement. Expanding NO1→SE3, SE3→SE4, and the SE3→FI HVDC would allow existing Nordic surplus to reach the deficit zones. Shadow prices identify these as the highest-value bottlenecks.</w:t>
      </w:r>
    </w:p>
    <w:p>
      <w:pPr>
        <w:pStyle w:val="ListParagraph"/>
        <w:numPr>
          <w:ilvl w:val="0"/>
          <w:numId w:val="3"/>
        </w:numPr>
        <w:spacing w:after="40" w:before="40" w:line="260"/>
      </w:pPr>
      <w:r>
        <w:rPr>
          <w:rFonts w:ascii="Arial" w:cs="Arial" w:eastAsia="Arial" w:hAnsi="Arial"/>
          <w:sz w:val="22"/>
          <w:szCs w:val="22"/>
        </w:rPr>
        <w:t xml:space="preserve">Gradual phase-out schedule. Spreading retirements over several years creates incremental price signals that pull forward replacement investment and demand-side adjustment before each step.</w:t>
      </w:r>
    </w:p>
    <w:p>
      <w:pPr>
        <w:pStyle w:val="ListParagraph"/>
        <w:numPr>
          <w:ilvl w:val="0"/>
          <w:numId w:val="3"/>
        </w:numPr>
        <w:spacing w:after="40" w:before="40" w:line="260"/>
      </w:pPr>
      <w:r>
        <w:rPr>
          <w:rFonts w:ascii="Arial" w:cs="Arial" w:eastAsia="Arial" w:hAnsi="Arial"/>
          <w:sz w:val="22"/>
          <w:szCs w:val="22"/>
        </w:rPr>
        <w:t xml:space="preserve">Demand-side flexibility and TSO coordination. All demand in the model is inelastic — shortfalls translate directly to shedding at 3,200 €/MWh. Interruptible contracts and real-time pricing would achieve voluntary reductions at far lower cost.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Removing 14% of system capacity (8,400/60,600 MW) causes a 278% cost increase. This extreme non-linearity comes from the combination of a zero-reserve-margin base case and the shedding penalty (3,200 €/MWh vs ~70 €/MWh normal price). The 2,862 MW of unserved load costs 9.16 M€ — far more than the generation it replaces.</w:t>
            </w:r>
          </w:p>
        </w:tc>
      </w:tr>
    </w:tbl>
    <w:p>
      <w:pPr>
        <w:spacing w:after="80" w:before="80"/>
      </w:pPr>
    </w:p>
    <w:p>
      <w:r>
        <w:br w:type="page"/>
      </w:r>
    </w:p>
    <w:p>
      <w:pPr>
        <w:pStyle w:val="Heading2"/>
        <w:spacing w:after="100" w:before="280"/>
      </w:pPr>
      <w:r>
        <w:rPr>
          <w:rFonts w:ascii="Arial" w:cs="Arial" w:eastAsia="Arial" w:hAnsi="Arial"/>
          <w:b/>
          <w:bCs/>
          <w:color w:val="1F618D"/>
          <w:sz w:val="28"/>
          <w:szCs w:val="28"/>
        </w:rPr>
        <w:t xml:space="preserve">Task 3-5 — Environmental Constraint (Carbon Pricing)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(a) Look up emission intensities from Electricity Maps; rank zones by absolute CO2 emissions. (b) Describe the history and future trajectory of the EU ETS carbon price. (c) Predict how a 65 €/tCO2 price would affect generation costs and dispatch. (d) Predict long-run trends for the Nordic system under rising carbon prices. (e) Run the model with 65 €/tCO2 and compare to predictions.</w:t>
            </w:r>
          </w:p>
        </w:tc>
      </w:tr>
    </w:tbl>
    <w:p>
      <w:pPr>
        <w:spacing w:after="80" w:before="80"/>
      </w:pPr>
    </w:p>
    <w:p>
      <w:pPr>
        <w:pStyle w:val="Heading3"/>
        <w:spacing w:after="80" w:before="200"/>
      </w:pPr>
      <w:r>
        <w:rPr>
          <w:rFonts w:ascii="Arial" w:cs="Arial" w:eastAsia="Arial" w:hAnsi="Arial"/>
          <w:b/>
          <w:bCs/>
          <w:color w:val="2471A3"/>
          <w:sz w:val="24"/>
          <w:szCs w:val="24"/>
        </w:rPr>
        <w:t xml:space="preserve">Background</w:t>
      </w:r>
    </w:p>
    <w:p>
      <w:pPr>
        <w:spacing w:after="80" w:before="60" w:line="276"/>
      </w:pPr>
      <w:r>
        <w:rPr>
          <w:rFonts w:ascii="Arial" w:cs="Arial" w:eastAsia="Arial" w:hAnsi="Arial"/>
          <w:sz w:val="22"/>
          <w:szCs w:val="22"/>
        </w:rPr>
        <w:t xml:space="preserve">The EU Emissions Trading System (EU ETS) adds a carbon cost to any generator that emits CO2. The formula is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5FB" w:val="clear"/>
            <w:tcMar>
              <w:top w:type="dxa" w:w="120"/>
              <w:left w:type="dxa" w:w="160"/>
              <w:bottom w:type="dxa" w:w="120"/>
              <w:right w:type="dxa" w:w="160"/>
            </w:tcMar>
          </w:tcPr>
          <w:p>
            <w:pPr>
              <w:spacing w:after="0" w:before="0" w:line="276"/>
            </w:pPr>
            <w:r>
              <w:rPr>
                <w:rFonts w:ascii="Arial" w:cs="Arial" w:eastAsia="Arial" w:hAnsi="Arial"/>
                <w:sz w:val="22"/>
                <w:szCs w:val="22"/>
              </w:rPr>
              <w:t xml:space="preserve">Adjusted cost = original cost + (emission intensity [gCO2/kWh] × carbon price [€/tonne]) / 1000</w:t>
            </w:r>
          </w:p>
        </w:tc>
      </w:tr>
    </w:tbl>
    <w:p>
      <w:pPr>
        <w:spacing w:after="80" w:before="60" w:line="276"/>
      </w:pPr>
      <w:r>
        <w:rPr>
          <w:rFonts w:ascii="Arial" w:cs="Arial" w:eastAsia="Arial" w:hAnsi="Arial"/>
          <w:sz w:val="22"/>
          <w:szCs w:val="22"/>
        </w:rPr>
        <w:t xml:space="preserve">Norwegian and Swedish zones have low emission intensities (15–26 gCO2/kWh, mostly hydro and nuclear lifecycle emissions). Danish zones have much higher intensities (120–155 gCO2/kWh from coal/gas). Finland is between these extremes (95 gCO2/kWh from CHP). A carbon price therefore hits Danish and Finnish generation hardest.</w:t>
      </w:r>
    </w:p>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(a) Emission ranking (wet-year FBMC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000"/>
        <w:gridCol w:w="2860"/>
      </w:tblGrid>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Zone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Generation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Intensity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Absolute Emissions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Share</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9,800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95 gCO2/kWh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931 tCO2/h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44.2%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 volume × high intensity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1,488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155 gCO2/kWh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231 tCO2/h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Highest intensity in system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12,400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gCO2/kWh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186 tCO2/h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Huge volume but lowest intensity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8,227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 gCO2/kWh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181 tCO2/h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 hydro volume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4,600 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 gCO2/kWh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110 tCO2/h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Lifecycle hydro emissions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Other zones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15–26 gCO2/kWh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~465 tCO2/h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Low-intensity hydro/nuclear</w:t>
            </w:r>
          </w:p>
        </w:tc>
      </w:tr>
    </w:tbl>
    <w:p>
      <w:pPr>
        <w:spacing w:after="80" w:before="60" w:line="276"/>
      </w:pPr>
      <w:r>
        <w:rPr>
          <w:rFonts w:ascii="Arial" w:cs="Arial" w:eastAsia="Arial" w:hAnsi="Arial"/>
          <w:sz w:val="22"/>
          <w:szCs w:val="22"/>
        </w:rPr>
        <w:t xml:space="preserve">Total system emissions: 2,104 tCO2/h. Finland emits more than Denmark in absolute terms despite lower intensity, because it generates far more electricity (9,800 vs 1,788 MW). The key insight is that absolute emissions depend on both intensity and volume.</w:t>
      </w:r>
    </w:p>
    <w:p>
      <w:pPr>
        <w:spacing w:after="80" w:before="80"/>
      </w:pPr>
    </w:p>
    <w:p>
      <w:pPr>
        <w:spacing w:after="60" w:before="160"/>
      </w:pPr>
      <w:r>
        <w:rPr>
          <w:rFonts w:ascii="Arial" w:cs="Arial" w:eastAsia="Arial" w:hAnsi="Arial"/>
          <w:b/>
          <w:bCs/>
          <w:color w:val="154360"/>
          <w:sz w:val="22"/>
          <w:szCs w:val="22"/>
          <w:u w:val="single"/>
        </w:rPr>
        <w:t xml:space="preserve">(b) EU ETS history and forecast</w:t>
      </w:r>
    </w:p>
    <w:p>
      <w:pPr>
        <w:pStyle w:val="ListParagraph"/>
        <w:numPr>
          <w:ilvl w:val="0"/>
          <w:numId w:val="3"/>
        </w:numPr>
        <w:spacing w:after="40" w:before="40" w:line="260"/>
      </w:pPr>
      <w:r>
        <w:rPr>
          <w:rFonts w:ascii="Arial" w:cs="Arial" w:eastAsia="Arial" w:hAnsi="Arial"/>
          <w:sz w:val="22"/>
          <w:szCs w:val="22"/>
        </w:rPr>
        <w:t xml:space="preserve">Phase 1 (2005–2007): Over-allocated allowances caused prices to briefly reach ~30 €/tCO2 before collapsing to near zero. Banking was prohibited, so surplus could not carry forward.</w:t>
      </w:r>
    </w:p>
    <w:p>
      <w:pPr>
        <w:pStyle w:val="ListParagraph"/>
        <w:numPr>
          <w:ilvl w:val="0"/>
          <w:numId w:val="3"/>
        </w:numPr>
        <w:spacing w:after="40" w:before="40" w:line="260"/>
      </w:pPr>
      <w:r>
        <w:rPr>
          <w:rFonts w:ascii="Arial" w:cs="Arial" w:eastAsia="Arial" w:hAnsi="Arial"/>
          <w:sz w:val="22"/>
          <w:szCs w:val="22"/>
        </w:rPr>
        <w:t xml:space="preserve">Phase 2 (2008–2012): Financial crisis suppressed industrial emissions. Prices averaged ~15 €/tCO2 and a large surplus accumulated.</w:t>
      </w:r>
    </w:p>
    <w:p>
      <w:pPr>
        <w:pStyle w:val="ListParagraph"/>
        <w:numPr>
          <w:ilvl w:val="0"/>
          <w:numId w:val="3"/>
        </w:numPr>
        <w:spacing w:after="40" w:before="40" w:line="260"/>
      </w:pPr>
      <w:r>
        <w:rPr>
          <w:rFonts w:ascii="Arial" w:cs="Arial" w:eastAsia="Arial" w:hAnsi="Arial"/>
          <w:sz w:val="22"/>
          <w:szCs w:val="22"/>
        </w:rPr>
        <w:t xml:space="preserve">Phase 3 (2013–2020): Prices stagnated at 5–8 €/tCO2 until the Market Stability Reserve (MSR) began absorbing the surplus in 2019, driving prices from ~8 € in 2017 to ~35 €/tCO2 by end-2020.</w:t>
      </w:r>
    </w:p>
    <w:p>
      <w:pPr>
        <w:pStyle w:val="ListParagraph"/>
        <w:numPr>
          <w:ilvl w:val="0"/>
          <w:numId w:val="3"/>
        </w:numPr>
        <w:spacing w:after="40" w:before="40" w:line="260"/>
      </w:pPr>
      <w:r>
        <w:rPr>
          <w:rFonts w:ascii="Arial" w:cs="Arial" w:eastAsia="Arial" w:hAnsi="Arial"/>
          <w:sz w:val="22"/>
          <w:szCs w:val="22"/>
        </w:rPr>
        <w:t xml:space="preserve">Phase 4 (2021–present): Prices surged above 95 €/tCO2 in early 2023, driven by the tightened cap, MSR absorption, and the energy crisis after Russia's invasion of Ukraine. Prices have moderated to 65–75 €/tCO2 in 2025–2026.</w:t>
      </w:r>
    </w:p>
    <w:p>
      <w:pPr>
        <w:spacing w:after="80" w:before="60" w:line="276"/>
      </w:pPr>
      <w:r>
        <w:rPr>
          <w:rFonts w:ascii="Arial" w:cs="Arial" w:eastAsia="Arial" w:hAnsi="Arial"/>
          <w:sz w:val="22"/>
          <w:szCs w:val="22"/>
        </w:rPr>
        <w:t xml:space="preserve">Forecast: the trajectory points toward sustained increases. A linear reduction factor rising to 4.3% per year, phase-out of free allowances by 2034, and the Carbon Border Adjustment Mechanism (CBAM) all push prices higher. Consensus estimates: 100–150 €/tCO2 by 2030, 150–300 €/tCO2 by 2040–2050.</w:t>
      </w:r>
    </w:p>
    <w:p>
      <w:pPr>
        <w:spacing w:after="80" w:before="80"/>
      </w:pPr>
    </w:p>
    <w:p>
      <w:pPr>
        <w:spacing w:after="60" w:before="160"/>
      </w:pPr>
      <w:r>
        <w:rPr>
          <w:rFonts w:ascii="Arial" w:cs="Arial" w:eastAsia="Arial" w:hAnsi="Arial"/>
          <w:b/>
          <w:bCs/>
          <w:color w:val="154360"/>
          <w:sz w:val="22"/>
          <w:szCs w:val="22"/>
          <w:u w:val="single"/>
        </w:rPr>
        <w:t xml:space="preserve">(c) Predicted effects of 65 €/tCO2</w:t>
      </w:r>
    </w:p>
    <w:p>
      <w:pPr>
        <w:spacing w:after="80" w:before="60" w:line="276"/>
      </w:pPr>
      <w:r>
        <w:rPr>
          <w:rFonts w:ascii="Arial" w:cs="Arial" w:eastAsia="Arial" w:hAnsi="Arial"/>
          <w:sz w:val="22"/>
          <w:szCs w:val="22"/>
        </w:rPr>
        <w:t xml:space="preserve">Cost adders are highly asymmetric. Norwegian and Swedish zones see only 0.97–1.69 €/MWh increases, while DK1 gains +10.08 €/MWh (to 103.08 €/MWh) and Finland gains +6.18 €/MWh (to 65.18 €/MWh, overtaking NO5 at 64.24 €/MWh). We predicted:</w:t>
      </w:r>
    </w:p>
    <w:p>
      <w:pPr>
        <w:pStyle w:val="ListParagraph"/>
        <w:numPr>
          <w:ilvl w:val="0"/>
          <w:numId w:val="2"/>
        </w:numPr>
        <w:spacing w:after="40" w:before="40" w:line="260"/>
      </w:pPr>
      <w:r>
        <w:rPr>
          <w:rFonts w:ascii="Arial" w:cs="Arial" w:eastAsia="Arial" w:hAnsi="Arial"/>
          <w:sz w:val="22"/>
          <w:szCs w:val="22"/>
        </w:rPr>
        <w:t xml:space="preserve">Denmark becomes even less competitive — likely reducing local output.</w:t>
      </w:r>
    </w:p>
    <w:p>
      <w:pPr>
        <w:pStyle w:val="ListParagraph"/>
        <w:numPr>
          <w:ilvl w:val="0"/>
          <w:numId w:val="2"/>
        </w:numPr>
        <w:spacing w:after="40" w:before="40" w:line="260"/>
      </w:pPr>
      <w:r>
        <w:rPr>
          <w:rFonts w:ascii="Arial" w:cs="Arial" w:eastAsia="Arial" w:hAnsi="Arial"/>
          <w:sz w:val="22"/>
          <w:szCs w:val="22"/>
        </w:rPr>
        <w:t xml:space="preserve">Finnish generation decreases marginally if network permits substitution.</w:t>
      </w:r>
    </w:p>
    <w:p>
      <w:pPr>
        <w:pStyle w:val="ListParagraph"/>
        <w:numPr>
          <w:ilvl w:val="0"/>
          <w:numId w:val="2"/>
        </w:numPr>
        <w:spacing w:after="40" w:before="40" w:line="260"/>
      </w:pPr>
      <w:r>
        <w:rPr>
          <w:rFonts w:ascii="Arial" w:cs="Arial" w:eastAsia="Arial" w:hAnsi="Arial"/>
          <w:sz w:val="22"/>
          <w:szCs w:val="22"/>
        </w:rPr>
        <w:t xml:space="preserve">Norwegian/Swedish corridors to Denmark may see reduced congestion if the price differential narrows.</w:t>
      </w:r>
    </w:p>
    <w:p>
      <w:pPr>
        <w:spacing w:after="80" w:before="80"/>
      </w:pPr>
    </w:p>
    <w:p>
      <w:pPr>
        <w:spacing w:after="60" w:before="160"/>
      </w:pPr>
      <w:r>
        <w:rPr>
          <w:rFonts w:ascii="Arial" w:cs="Arial" w:eastAsia="Arial" w:hAnsi="Arial"/>
          <w:b/>
          <w:bCs/>
          <w:color w:val="154360"/>
          <w:sz w:val="22"/>
          <w:szCs w:val="22"/>
          <w:u w:val="single"/>
        </w:rPr>
        <w:t xml:space="preserve">(e) Actual model results: the Danish swap</w:t>
      </w:r>
    </w:p>
    <w:p>
      <w:pPr>
        <w:spacing w:after="80" w:before="60" w:line="276"/>
      </w:pPr>
      <w:r>
        <w:rPr>
          <w:rFonts w:ascii="Arial" w:cs="Arial" w:eastAsia="Arial" w:hAnsi="Arial"/>
          <w:sz w:val="22"/>
          <w:szCs w:val="22"/>
        </w:rPr>
        <w:t xml:space="preserve">The model result had one clear surprise: only Denmark changes dispatch. All other ten zones are unaffected.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1800"/>
        <w:gridCol w:w="176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Zone</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Base Generation</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CO2 Generation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Base Price</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CO2 Price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1,488 MW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288 MW (−1,200 MW)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93.00 €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103.08 €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DK2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300 MW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1,500 MW (+1,200 MW)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93.00 €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100.80 €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others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Unchanged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Unchanged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Unchanged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+0.07–1.43 €</w:t>
            </w:r>
          </w:p>
        </w:tc>
      </w:tr>
    </w:tbl>
    <w:p>
      <w:pPr>
        <w:spacing w:after="80" w:before="60" w:line="276"/>
      </w:pPr>
      <w:r>
        <w:rPr>
          <w:rFonts w:ascii="Arial" w:cs="Arial" w:eastAsia="Arial" w:hAnsi="Arial"/>
          <w:sz w:val="22"/>
          <w:szCs w:val="22"/>
        </w:rPr>
        <w:t xml:space="preserve">Both Danish zones had identical base costs of 93 €/MWh. The carbon price breaks this symmetry: DK1 (155 gCO2/kWh) becomes 103.08 €/MWh while DK2 (120 gCO2/kWh) reaches 100.80 €/MWh. The optimizer substitutes DK1 with DK2, and the DK1↔DK2 HVDC reverses from +600 to −600 MW.</w:t>
      </w:r>
    </w:p>
    <w:p>
      <w:pPr>
        <w:spacing w:after="80" w:before="60" w:line="276"/>
      </w:pPr>
      <w:r>
        <w:rPr>
          <w:rFonts w:ascii="Arial" w:cs="Arial" w:eastAsia="Arial" w:hAnsi="Arial"/>
          <w:sz w:val="22"/>
          <w:szCs w:val="22"/>
        </w:rPr>
        <w:t xml:space="preserve">Why is the effect so small? At 65 €/tCO2, Finnish generation (65.18 €/MWh after adder) is still cheaper than the next available generators (SE4 at 70.98 €/MWh, NO2 at 78.43 €/MWh). The merit order barely changes for non-Danish zones. Total emissions fall only 2% (2,104 → 2,062 tCO2/h). Total system cost rises 4.1%.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65 €/tCO2 is enough to reshuffle generation within Denmark (DK1↔DK2 swap) but not enough to displace Finnish thermal or cause larger structural changes. A much higher carbon price — likely 150+ €/tCO2 — would be needed to fundamentally alter the Nordic dispatch merit order.</w:t>
            </w:r>
          </w:p>
        </w:tc>
      </w:tr>
    </w:tbl>
    <w:p>
      <w:pPr>
        <w:spacing w:after="80" w:before="80"/>
      </w:pPr>
    </w:p>
    <w:p>
      <w:r>
        <w:br w:type="page"/>
      </w:r>
    </w:p>
    <w:p>
      <w:pPr>
        <w:pStyle w:val="Heading1"/>
        <w:spacing w:after="120" w:before="360"/>
      </w:pPr>
      <w:r>
        <w:rPr>
          <w:rFonts w:ascii="Arial" w:cs="Arial" w:eastAsia="Arial" w:hAnsi="Arial"/>
          <w:b/>
          <w:bCs/>
          <w:color w:val="1A3A5C"/>
          <w:sz w:val="34"/>
          <w:szCs w:val="34"/>
        </w:rPr>
        <w:t xml:space="preserve">Problem 4 — Wind Integration and Price Spikes</w:t>
      </w:r>
    </w:p>
    <w:p>
      <w:pPr>
        <w:spacing w:after="80" w:before="60" w:line="276"/>
      </w:pPr>
      <w:r>
        <w:rPr>
          <w:rFonts w:ascii="Arial" w:cs="Arial" w:eastAsia="Arial" w:hAnsi="Arial"/>
          <w:sz w:val="22"/>
          <w:szCs w:val="22"/>
        </w:rPr>
        <w:t xml:space="preserve">Problem 4 extends the wet-year FBMC model from Problem 3 by introducing large-scale wind power and then stress-testing the system under peak demand and supply scarcity scenarios. The central question is: how does variable renewable generation change prices, volatility, and system resilience?</w:t>
      </w:r>
    </w:p>
    <w:p>
      <w:pPr>
        <w:spacing w:after="80" w:before="80"/>
      </w:pPr>
    </w:p>
    <w:p>
      <w:pPr>
        <w:pStyle w:val="Heading2"/>
        <w:spacing w:after="100" w:before="280"/>
      </w:pPr>
      <w:r>
        <w:rPr>
          <w:rFonts w:ascii="Arial" w:cs="Arial" w:eastAsia="Arial" w:hAnsi="Arial"/>
          <w:b/>
          <w:bCs/>
          <w:color w:val="1F618D"/>
          <w:sz w:val="28"/>
          <w:szCs w:val="28"/>
        </w:rPr>
        <w:t xml:space="preserve">Task 4-1 — Wind Integration in the Base (Wet-Year) Case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Add 19,100 MW of installed wind capacity (distributed across all 12 zones) to the wet-year FBMC base case. Analyse: (1) how zonal generation and prices change, (2) the merit-order effect, (3) how AC and HVDC flows change, (4) congestion patterns, (5) congestion rents, and (6) total system cost.</w:t>
            </w:r>
          </w:p>
        </w:tc>
      </w:tr>
    </w:tbl>
    <w:p>
      <w:pPr>
        <w:spacing w:after="80" w:before="80"/>
      </w:pPr>
    </w:p>
    <w:p>
      <w:pPr>
        <w:pStyle w:val="Heading3"/>
        <w:spacing w:after="80" w:before="200"/>
      </w:pPr>
      <w:r>
        <w:rPr>
          <w:rFonts w:ascii="Arial" w:cs="Arial" w:eastAsia="Arial" w:hAnsi="Arial"/>
          <w:b/>
          <w:bCs/>
          <w:color w:val="2471A3"/>
          <w:sz w:val="24"/>
          <w:szCs w:val="24"/>
        </w:rPr>
        <w:t xml:space="preserve">Background</w:t>
      </w:r>
    </w:p>
    <w:p>
      <w:pPr>
        <w:spacing w:after="80" w:before="60" w:line="276"/>
      </w:pPr>
      <w:r>
        <w:rPr>
          <w:rFonts w:ascii="Arial" w:cs="Arial" w:eastAsia="Arial" w:hAnsi="Arial"/>
          <w:sz w:val="22"/>
          <w:szCs w:val="22"/>
        </w:rPr>
        <w:t xml:space="preserve">Wind power has zero marginal cost. In the model it is implemented as a reduction in net demand: D_net = D − W. At zero cost, wind is always dispatched first. This is the standard modeling approach — it preserves the existing model structure without adding new decision variables.</w:t>
      </w:r>
    </w:p>
    <w:p>
      <w:pPr>
        <w:spacing w:after="80" w:before="60" w:line="276"/>
      </w:pPr>
      <w:r>
        <w:rPr>
          <w:rFonts w:ascii="Arial" w:cs="Arial" w:eastAsia="Arial" w:hAnsi="Arial"/>
          <w:sz w:val="22"/>
          <w:szCs w:val="22"/>
        </w:rPr>
        <w:t xml:space="preserve">The total wind capacity (19,100 MW) includes large assignments to Denmark (DK1: 3,200 MW, DK2: 2,200 MW — exactly matching their total demand), SE3 (4,200 MW), FI (2,300 MW), and NO2 (1,100 MW). DK1 and DK2 end up with zero net demand.</w:t>
      </w:r>
    </w:p>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1. Zonal generation and prices</w:t>
      </w:r>
    </w:p>
    <w:p>
      <w:pPr>
        <w:spacing w:after="80" w:before="60" w:line="276"/>
      </w:pPr>
      <w:r>
        <w:rPr>
          <w:rFonts w:ascii="Arial" w:cs="Arial" w:eastAsia="Arial" w:hAnsi="Arial"/>
          <w:sz w:val="22"/>
          <w:szCs w:val="22"/>
        </w:rPr>
        <w:t xml:space="preserve">Wind displaces 19,100 MW of conventional generation (total conventional falls from 60,600 to 41,500 MW). The largest reductions hit the most expensive conventional units: NO2 (−5,310 MW), SE3 (−5,394 MW), and FI (−3,300 MW). Danish conventional generation drops to zero.</w:t>
      </w:r>
    </w:p>
    <w:p>
      <w:pPr>
        <w:spacing w:after="80" w:before="60" w:line="276"/>
      </w:pPr>
      <w:r>
        <w:rPr>
          <w:rFonts w:ascii="Arial" w:cs="Arial" w:eastAsia="Arial" w:hAnsi="Arial"/>
          <w:sz w:val="22"/>
          <w:szCs w:val="22"/>
        </w:rPr>
        <w:t xml:space="preserve">Demand-weighted average price falls from 71.92 to 58.24 €/MWh (−19%). Largest decreases:</w:t>
      </w:r>
    </w:p>
    <w:p>
      <w:pPr>
        <w:pStyle w:val="ListParagraph"/>
        <w:numPr>
          <w:ilvl w:val="0"/>
          <w:numId w:val="2"/>
        </w:numPr>
        <w:spacing w:after="40" w:before="40" w:line="260"/>
      </w:pPr>
      <w:r>
        <w:rPr>
          <w:rFonts w:ascii="Arial" w:cs="Arial" w:eastAsia="Arial" w:hAnsi="Arial"/>
          <w:sz w:val="22"/>
          <w:szCs w:val="22"/>
        </w:rPr>
        <w:t xml:space="preserve">DK2: −38 €/MWh (93 → 55 €/MWh) — all local thermal displaced by wind.</w:t>
      </w:r>
    </w:p>
    <w:p>
      <w:pPr>
        <w:pStyle w:val="ListParagraph"/>
        <w:numPr>
          <w:ilvl w:val="0"/>
          <w:numId w:val="2"/>
        </w:numPr>
        <w:spacing w:after="40" w:before="40" w:line="260"/>
      </w:pPr>
      <w:r>
        <w:rPr>
          <w:rFonts w:ascii="Arial" w:cs="Arial" w:eastAsia="Arial" w:hAnsi="Arial"/>
          <w:sz w:val="22"/>
          <w:szCs w:val="22"/>
        </w:rPr>
        <w:t xml:space="preserve">NO4: −35.49 €/MWh (62.49 → 27 €/MWh) — reduced net demand removes the congestion premium that had been elevating NO4's price above its 27 €/MWh marginal cost.</w:t>
      </w:r>
    </w:p>
    <w:p>
      <w:pPr>
        <w:pStyle w:val="ListParagraph"/>
        <w:numPr>
          <w:ilvl w:val="0"/>
          <w:numId w:val="2"/>
        </w:numPr>
        <w:spacing w:after="40" w:before="40" w:line="260"/>
      </w:pPr>
      <w:r>
        <w:rPr>
          <w:rFonts w:ascii="Arial" w:cs="Arial" w:eastAsia="Arial" w:hAnsi="Arial"/>
          <w:sz w:val="22"/>
          <w:szCs w:val="22"/>
        </w:rPr>
        <w:t xml:space="preserve">SE1: −27.45 €/MWh (70 → 42.55 €/MWh).</w:t>
      </w:r>
    </w:p>
    <w:p>
      <w:pPr>
        <w:spacing w:after="80" w:before="80"/>
      </w:pPr>
    </w:p>
    <w:p>
      <w:pPr>
        <w:spacing w:after="60" w:before="160"/>
      </w:pPr>
      <w:r>
        <w:rPr>
          <w:rFonts w:ascii="Arial" w:cs="Arial" w:eastAsia="Arial" w:hAnsi="Arial"/>
          <w:b/>
          <w:bCs/>
          <w:color w:val="154360"/>
          <w:sz w:val="22"/>
          <w:szCs w:val="22"/>
          <w:u w:val="single"/>
        </w:rPr>
        <w:t xml:space="preserve">2. Merit-order effect</w:t>
      </w:r>
    </w:p>
    <w:p>
      <w:pPr>
        <w:spacing w:after="80" w:before="60" w:line="276"/>
      </w:pPr>
      <w:r>
        <w:rPr>
          <w:rFonts w:ascii="Arial" w:cs="Arial" w:eastAsia="Arial" w:hAnsi="Arial"/>
          <w:sz w:val="22"/>
          <w:szCs w:val="22"/>
        </w:rPr>
        <w:t xml:space="preserve">Zero-cost wind shifts the supply curve rightward. In the base case, SE4 (70 €/MWh) was the marginal generator for the Swedish/Finnish cluster. With wind, SE3 (55 €/MWh) becomes marginal — a cheaper generator now sets the price. NO4 and NO3 fall to their own marginal costs (27 and 38 €/MWh) because reduced net demand eliminates the need for export-congestion-elevated pricing.</w:t>
      </w:r>
    </w:p>
    <w:p>
      <w:pPr>
        <w:spacing w:after="80" w:before="80"/>
      </w:pPr>
    </w:p>
    <w:p>
      <w:pPr>
        <w:spacing w:after="60" w:before="160"/>
      </w:pPr>
      <w:r>
        <w:rPr>
          <w:rFonts w:ascii="Arial" w:cs="Arial" w:eastAsia="Arial" w:hAnsi="Arial"/>
          <w:b/>
          <w:bCs/>
          <w:color w:val="154360"/>
          <w:sz w:val="22"/>
          <w:szCs w:val="22"/>
          <w:u w:val="single"/>
        </w:rPr>
        <w:t xml:space="preserve">3. AC and HVDC flow changes</w:t>
      </w:r>
    </w:p>
    <w:p>
      <w:pPr>
        <w:pStyle w:val="ListParagraph"/>
        <w:numPr>
          <w:ilvl w:val="0"/>
          <w:numId w:val="2"/>
        </w:numPr>
        <w:spacing w:after="40" w:before="40" w:line="260"/>
      </w:pPr>
      <w:r>
        <w:rPr>
          <w:rFonts w:ascii="Arial" w:cs="Arial" w:eastAsia="Arial" w:hAnsi="Arial"/>
          <w:sz w:val="22"/>
          <w:szCs w:val="22"/>
        </w:rPr>
        <w:t xml:space="preserve">NO2→NO1 drops 1,595 → 297 MW: NO2 conventional output falls sharply.</w:t>
      </w:r>
    </w:p>
    <w:p>
      <w:pPr>
        <w:pStyle w:val="ListParagraph"/>
        <w:numPr>
          <w:ilvl w:val="0"/>
          <w:numId w:val="2"/>
        </w:numPr>
        <w:spacing w:after="40" w:before="40" w:line="260"/>
      </w:pPr>
      <w:r>
        <w:rPr>
          <w:rFonts w:ascii="Arial" w:cs="Arial" w:eastAsia="Arial" w:hAnsi="Arial"/>
          <w:sz w:val="22"/>
          <w:szCs w:val="22"/>
        </w:rPr>
        <w:t xml:space="preserve">NO1→SE3 reverses from +144 to −426 MW: reduced Swedish net demand eliminates the need for Norwegian imports. Sweden now exports to Norway.</w:t>
      </w:r>
    </w:p>
    <w:p>
      <w:pPr>
        <w:pStyle w:val="ListParagraph"/>
        <w:numPr>
          <w:ilvl w:val="0"/>
          <w:numId w:val="2"/>
        </w:numPr>
        <w:spacing w:after="40" w:before="40" w:line="260"/>
      </w:pPr>
      <w:r>
        <w:rPr>
          <w:rFonts w:ascii="Arial" w:cs="Arial" w:eastAsia="Arial" w:hAnsi="Arial"/>
          <w:sz w:val="22"/>
          <w:szCs w:val="22"/>
        </w:rPr>
        <w:t xml:space="preserve">SE3→SE4 halves 4,464 → 2,100 MW: SE4's 2,000 MW wind covers half its local demand.</w:t>
      </w:r>
    </w:p>
    <w:p>
      <w:pPr>
        <w:pStyle w:val="ListParagraph"/>
        <w:numPr>
          <w:ilvl w:val="0"/>
          <w:numId w:val="2"/>
        </w:numPr>
        <w:spacing w:after="40" w:before="40" w:line="260"/>
      </w:pPr>
      <w:r>
        <w:rPr>
          <w:rFonts w:ascii="Arial" w:cs="Arial" w:eastAsia="Arial" w:hAnsi="Arial"/>
          <w:sz w:val="22"/>
          <w:szCs w:val="22"/>
        </w:rPr>
        <w:t xml:space="preserve">NO2→DK1 HVDC reverses +1,632 → −1,280 MW: with Danish demand fully covered by wind, the link exports Danish surplus back toward Norway.</w:t>
      </w:r>
    </w:p>
    <w:p>
      <w:pPr>
        <w:pStyle w:val="ListParagraph"/>
        <w:numPr>
          <w:ilvl w:val="0"/>
          <w:numId w:val="2"/>
        </w:numPr>
        <w:spacing w:after="40" w:before="40" w:line="260"/>
      </w:pPr>
      <w:r>
        <w:rPr>
          <w:rFonts w:ascii="Arial" w:cs="Arial" w:eastAsia="Arial" w:hAnsi="Arial"/>
          <w:sz w:val="22"/>
          <w:szCs w:val="22"/>
        </w:rPr>
        <w:t xml:space="preserve">SE3→FI HVDC increases 585 → 1,200 MW (now binding): cheap Swedish power pushed toward Finland.</w:t>
      </w:r>
    </w:p>
    <w:p>
      <w:pPr>
        <w:spacing w:after="80" w:before="80"/>
      </w:pPr>
    </w:p>
    <w:p>
      <w:pPr>
        <w:spacing w:after="60" w:before="160"/>
      </w:pPr>
      <w:r>
        <w:rPr>
          <w:rFonts w:ascii="Arial" w:cs="Arial" w:eastAsia="Arial" w:hAnsi="Arial"/>
          <w:b/>
          <w:bCs/>
          <w:color w:val="154360"/>
          <w:sz w:val="22"/>
          <w:szCs w:val="22"/>
          <w:u w:val="single"/>
        </w:rPr>
        <w:t xml:space="preserve">4 &amp; 5. Congestion and congestion rents</w:t>
      </w:r>
    </w:p>
    <w:p>
      <w:pPr>
        <w:spacing w:after="80" w:before="60" w:line="276"/>
      </w:pPr>
      <w:r>
        <w:rPr>
          <w:rFonts w:ascii="Arial" w:cs="Arial" w:eastAsia="Arial" w:hAnsi="Arial"/>
          <w:sz w:val="22"/>
          <w:szCs w:val="22"/>
        </w:rPr>
        <w:t xml:space="preserve">Three new binding constraints appear: NO4→NO3 (1,200 MW), SE1→FI (1,500 MW), and SE2→SE3 (7,300 MW), plus SE3→FI HVDC at 1,200 MW. Wind relieves north-to-south export corridors but creates new bottlenecks on Finnish feed lines and internal Swedish lines.</w:t>
      </w:r>
    </w:p>
    <w:p>
      <w:pPr>
        <w:spacing w:after="80" w:before="60" w:line="276"/>
      </w:pPr>
      <w:r>
        <w:rPr>
          <w:rFonts w:ascii="Arial" w:cs="Arial" w:eastAsia="Arial" w:hAnsi="Arial"/>
          <w:sz w:val="22"/>
          <w:szCs w:val="22"/>
        </w:rPr>
        <w:t xml:space="preserve">Total congestion rent rises from 107,258 to 195,798 € (+83%). Despite lower average prices, wind widens zonal price differentials: prices now range 27–77 €/MWh (vs 69–77 €/MWh in the base case). SE2→SE3 alone generates 60,590 € driven by an 8.3 €/MWh spread across 7,300 MW.</w:t>
      </w:r>
    </w:p>
    <w:p>
      <w:pPr>
        <w:spacing w:after="80" w:before="80"/>
      </w:pPr>
    </w:p>
    <w:p>
      <w:pPr>
        <w:spacing w:after="60" w:before="160"/>
      </w:pPr>
      <w:r>
        <w:rPr>
          <w:rFonts w:ascii="Arial" w:cs="Arial" w:eastAsia="Arial" w:hAnsi="Arial"/>
          <w:b/>
          <w:bCs/>
          <w:color w:val="154360"/>
          <w:sz w:val="22"/>
          <w:szCs w:val="22"/>
          <w:u w:val="single"/>
        </w:rPr>
        <w:t xml:space="preserve">6. Total system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Scenario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w:t>
            </w:r>
          </w:p>
        </w:tc>
        <w:tc>
          <w:tcPr>
            <w:tcW w:type="dxa" w:w="2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Zonal Price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Without wind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3,292,168 €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71.92 €/MWh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With full wind (19,100 MW)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2,068,670 €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58.24 €/MWh</w:t>
            </w:r>
          </w:p>
        </w:tc>
      </w:tr>
    </w:tbl>
    <w:p>
      <w:pPr>
        <w:spacing w:after="80" w:before="60" w:line="276"/>
      </w:pPr>
      <w:r>
        <w:rPr>
          <w:rFonts w:ascii="Arial" w:cs="Arial" w:eastAsia="Arial" w:hAnsi="Arial"/>
          <w:sz w:val="22"/>
          <w:szCs w:val="22"/>
        </w:rPr>
        <w:t xml:space="preserve">Cost falls by 1,223,498 € (−37.2%). This reflects the direct saving from replacing expensive conventional generation with zero-cost wind.</w:t>
      </w:r>
    </w:p>
    <w:p>
      <w:pPr>
        <w:spacing w:after="80" w:before="80"/>
      </w:pPr>
    </w:p>
    <w:p>
      <w:pPr>
        <w:spacing w:after="60" w:before="160"/>
      </w:pPr>
      <w:r>
        <w:rPr>
          <w:rFonts w:ascii="Arial" w:cs="Arial" w:eastAsia="Arial" w:hAnsi="Arial"/>
          <w:b/>
          <w:bCs/>
          <w:color w:val="154360"/>
          <w:sz w:val="22"/>
          <w:szCs w:val="22"/>
          <w:u w:val="single"/>
        </w:rPr>
        <w:t xml:space="preserve">Why wind reduces average prices but increases price volatility</w:t>
      </w:r>
    </w:p>
    <w:p>
      <w:pPr>
        <w:spacing w:after="80" w:before="60" w:line="276"/>
      </w:pPr>
      <w:r>
        <w:rPr>
          <w:rFonts w:ascii="Arial" w:cs="Arial" w:eastAsia="Arial" w:hAnsi="Arial"/>
          <w:sz w:val="22"/>
          <w:szCs w:val="22"/>
        </w:rPr>
        <w:t xml:space="preserve">Wind guarantees lower prices when it is available (merit-order effect). But during low-wind periods the system reverts to conventional dispatch at higher prices, widening the spread between high- and low-wind hours. Wind-induced congestion shifts further widen zonal price differentials unpredictably, adding spatial volatility on top of temporal volatility. Lower average prices with higher variance is the defining and well-documented outcome of large-scale wind integration.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19,100 MW of wind reduces system cost by 37% and average prices by 19%, but also increases congestion rents by 83% and shifts binding constraints from Norway–Sweden corridors to Sweden–Finland corridors. The 'merit-order effect' is real and large.</w:t>
            </w:r>
          </w:p>
        </w:tc>
      </w:tr>
    </w:tbl>
    <w:p>
      <w:pPr>
        <w:spacing w:after="80" w:before="80"/>
      </w:pPr>
    </w:p>
    <w:p>
      <w:r>
        <w:br w:type="page"/>
      </w:r>
    </w:p>
    <w:p>
      <w:pPr>
        <w:pStyle w:val="Heading2"/>
        <w:spacing w:after="100" w:before="280"/>
      </w:pPr>
      <w:r>
        <w:rPr>
          <w:rFonts w:ascii="Arial" w:cs="Arial" w:eastAsia="Arial" w:hAnsi="Arial"/>
          <w:b/>
          <w:bCs/>
          <w:color w:val="1F618D"/>
          <w:sz w:val="28"/>
          <w:szCs w:val="28"/>
        </w:rPr>
        <w:t xml:space="preserve">Task 4-2 — Price Spikes from Peak Demand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Building on the wind base case: (1) +10% demand at DK2 and SE4 (Scenario A), (2) +20% demand at DK2 and SE4 (Scenario B), (3) +30% demand system-wide (Stress test). Explain why Scenarios A and B show no price change, describe the price response as demand rises, and explain why small demand increases near a capacity boundary cause disproportionately large price spikes.</w:t>
            </w:r>
          </w:p>
        </w:tc>
      </w:tr>
    </w:tbl>
    <w:p>
      <w:pPr>
        <w:spacing w:after="80" w:before="80"/>
      </w:pPr>
    </w:p>
    <w:p>
      <w:pPr>
        <w:pStyle w:val="Heading3"/>
        <w:spacing w:after="80" w:before="200"/>
      </w:pPr>
      <w:r>
        <w:rPr>
          <w:rFonts w:ascii="Arial" w:cs="Arial" w:eastAsia="Arial" w:hAnsi="Arial"/>
          <w:b/>
          <w:bCs/>
          <w:color w:val="2471A3"/>
          <w:sz w:val="24"/>
          <w:szCs w:val="24"/>
        </w:rPr>
        <w:t xml:space="preserve">Background: The Three-Regime Supply Curve</w:t>
      </w:r>
    </w:p>
    <w:p>
      <w:pPr>
        <w:spacing w:after="80" w:before="60" w:line="276"/>
      </w:pPr>
      <w:r>
        <w:rPr>
          <w:rFonts w:ascii="Arial" w:cs="Arial" w:eastAsia="Arial" w:hAnsi="Arial"/>
          <w:sz w:val="22"/>
          <w:szCs w:val="22"/>
        </w:rPr>
        <w:t xml:space="preserve">An electricity supply curve has three distinct regions. Understanding which regime you are in is the key to predicting price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Regime</w:t>
            </w:r>
          </w:p>
        </w:tc>
        <w:tc>
          <w:tcPr>
            <w:tcW w:type="dxa" w:w="7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What it means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Flat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Spare capacity in the cheapest generators; corridors to demand centres uncongested. Price = marginal cost of cheapest available unit (constant). Cost rises linearly with demand. No price spike.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Steep</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Cheapest generators reach capacity limit or transmission saturates. Next unit in merit order is significantly more expensive. Even 1 extra MW triggers a price jump.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Vertical (Scarcity)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capacity exhausted. The last resort is load shedding at 3,200 €/MWh (VoLL). A single extra MW of demand causes the price to jump from ~70 €/MWh to 3,200 €/MWh (a factor of 45×).</w:t>
            </w:r>
          </w:p>
        </w:tc>
      </w:tr>
    </w:tbl>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Scenarios A (+10%) and B (+20%) — no price change</w:t>
      </w:r>
    </w:p>
    <w:p>
      <w:pPr>
        <w:spacing w:after="80" w:before="60" w:line="276"/>
      </w:pPr>
      <w:r>
        <w:rPr>
          <w:rFonts w:ascii="Arial" w:cs="Arial" w:eastAsia="Arial" w:hAnsi="Arial"/>
          <w:sz w:val="22"/>
          <w:szCs w:val="22"/>
        </w:rPr>
        <w:t xml:space="preserve">Starting from the wind base case, SE3 has approximately 5,400 MW of spare capacity (12,400 MW cap vs 7,006 MW actual dispatch). The SE3→SE4 and SE3→DK2 corridors are uncongested. Scenarios A and B add 620 and 1,240 MW respectively to DK2 and SE4 — well within SE3's spare capacity. The marginal generator remains SE3 at 55 €/MWh. No line saturates, no generator reaches its limit. Cost rises linearly at 55 × ΔD €/MW, with zero price spike. The system is firmly in the flat regime.</w:t>
      </w:r>
    </w:p>
    <w:p>
      <w:pPr>
        <w:spacing w:after="80" w:before="80"/>
      </w:pPr>
    </w:p>
    <w:p>
      <w:pPr>
        <w:spacing w:after="60" w:before="160"/>
      </w:pPr>
      <w:r>
        <w:rPr>
          <w:rFonts w:ascii="Arial" w:cs="Arial" w:eastAsia="Arial" w:hAnsi="Arial"/>
          <w:b/>
          <w:bCs/>
          <w:color w:val="154360"/>
          <w:sz w:val="22"/>
          <w:szCs w:val="22"/>
          <w:u w:val="single"/>
        </w:rPr>
        <w:t xml:space="preserve">Stress test (+30% system-wide)</w:t>
      </w:r>
    </w:p>
    <w:p>
      <w:pPr>
        <w:spacing w:after="80" w:before="60" w:line="276"/>
      </w:pPr>
      <w:r>
        <w:rPr>
          <w:rFonts w:ascii="Arial" w:cs="Arial" w:eastAsia="Arial" w:hAnsi="Arial"/>
          <w:sz w:val="22"/>
          <w:szCs w:val="22"/>
        </w:rPr>
        <w:t xml:space="preserve">The +30% system-wide increase adds ~18,180 MW to total demand (60,600 × 0.30). This pushes SE3 to its 12,400 MW cap and saturates SE1→FI (1,500 MW). Finland cannot receive sufficient imports and sheds 150 MW at 3,200 €/MWh. Finland's price spikes from 59 to 3,200 €/MWh while most other zones rise to ~73 €/MWh.</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500"/>
        <w:gridCol w:w="1000"/>
        <w:gridCol w:w="1000"/>
        <w:gridCol w:w="100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Scenario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Cost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Shedding</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SE3 Dispatch</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λ SE4</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λ FI</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λ DK2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Wind base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2,068,670 €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7,006 MW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 DK2, SE4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2,102,770 €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7,626 MW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 DK2, SE4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2,136,870 €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8,246 MW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all zones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3,647,425 €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12,400 MW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73</w:t>
            </w:r>
          </w:p>
        </w:tc>
      </w:tr>
    </w:tbl>
    <w:p>
      <w:pPr>
        <w:spacing w:after="80" w:before="80"/>
      </w:pPr>
    </w:p>
    <w:p>
      <w:pPr>
        <w:spacing w:after="60" w:before="160"/>
      </w:pPr>
      <w:r>
        <w:rPr>
          <w:rFonts w:ascii="Arial" w:cs="Arial" w:eastAsia="Arial" w:hAnsi="Arial"/>
          <w:b/>
          <w:bCs/>
          <w:color w:val="154360"/>
          <w:sz w:val="22"/>
          <w:szCs w:val="22"/>
          <w:u w:val="single"/>
        </w:rPr>
        <w:t xml:space="preserve">Why small demand increases near capacity boundaries cause huge price spikes</w:t>
      </w:r>
    </w:p>
    <w:p>
      <w:pPr>
        <w:spacing w:after="80" w:before="60" w:line="276"/>
      </w:pPr>
      <w:r>
        <w:rPr>
          <w:rFonts w:ascii="Arial" w:cs="Arial" w:eastAsia="Arial" w:hAnsi="Arial"/>
          <w:sz w:val="22"/>
          <w:szCs w:val="22"/>
        </w:rPr>
        <w:t xml:space="preserve">The residual supply curve has a fundamental non-linearity. Once SE3 is fully dispatched (flat regime ends), the next unit in the merit order is SE4 at 70 €/MWh — a 27% price increase triggered by a single marginal MW. When all generators are exhausted, the next 'generator' is load shedding at 3,200 €/MWh — a 58× price increase. This discontinuity is the scarcity pricing mechanism that makes electricity markets fundamentally different from most commodity markets.</w:t>
      </w:r>
    </w:p>
    <w:p>
      <w:pPr>
        <w:spacing w:after="80" w:before="60" w:line="276"/>
      </w:pPr>
      <w:r>
        <w:rPr>
          <w:rFonts w:ascii="Arial" w:cs="Arial" w:eastAsia="Arial" w:hAnsi="Arial"/>
          <w:sz w:val="22"/>
          <w:szCs w:val="22"/>
        </w:rPr>
        <w:t xml:space="preserve">Binding transmission constraints amplify this non-linearity. In the +30% scenario, Finland reaches shedding prices not because of a system-wide capacity shortage, but because SE1→FI (1,500 MW) and SE3→FI HVDC (1,200 MW) are both fully saturated. Even though SE3 has theoretical capacity left, it physically cannot reach Finland.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At +10% or +20% local demand there is no price response at all — the system is comfortably in the flat regime. At +30% system-wide, one zone (Finland) experiences a 54× price spike while the rest see only modest increases. The non-linear, threshold-based nature of scarcity pricing means that the precise location on the supply curve matters enormously.</w:t>
            </w:r>
          </w:p>
        </w:tc>
      </w:tr>
    </w:tbl>
    <w:p>
      <w:pPr>
        <w:spacing w:after="80" w:before="80"/>
      </w:pPr>
    </w:p>
    <w:p>
      <w:r>
        <w:br w:type="page"/>
      </w:r>
    </w:p>
    <w:p>
      <w:pPr>
        <w:pStyle w:val="Heading2"/>
        <w:spacing w:after="100" w:before="280"/>
      </w:pPr>
      <w:r>
        <w:rPr>
          <w:rFonts w:ascii="Arial" w:cs="Arial" w:eastAsia="Arial" w:hAnsi="Arial"/>
          <w:b/>
          <w:bCs/>
          <w:color w:val="1F618D"/>
          <w:sz w:val="28"/>
          <w:szCs w:val="28"/>
        </w:rPr>
        <w:t xml:space="preserve">Task 4-3 — Price Spikes from Supply Scarcity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EFBD8"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TASK QUESTION</w:t>
            </w:r>
          </w:p>
          <w:p>
            <w:pPr>
              <w:spacing w:after="0" w:before="0" w:line="276"/>
            </w:pPr>
            <w:r>
              <w:rPr>
                <w:rFonts w:ascii="Arial" w:cs="Arial" w:eastAsia="Arial" w:hAnsi="Arial"/>
                <w:sz w:val="22"/>
                <w:szCs w:val="22"/>
              </w:rPr>
              <w:t xml:space="preserve">What does this task ask?
Analyse four scenarios: (1) full wind (100%), (2) low wind (25%), (3) no wind (0%), (4) compound scarcity (no wind + Norwegian hydro reduced by 30%). For each: zonal prices, congestion changes, congestion rents, and which zones see the largest price spikes. Do interconnectors mitigate or amplify scarcity?</w:t>
            </w:r>
          </w:p>
        </w:tc>
      </w:tr>
    </w:tbl>
    <w:p>
      <w:pPr>
        <w:spacing w:after="80" w:before="80"/>
      </w:pPr>
    </w:p>
    <w:p>
      <w:pPr>
        <w:pStyle w:val="Heading3"/>
        <w:spacing w:after="80" w:before="200"/>
      </w:pPr>
      <w:r>
        <w:rPr>
          <w:rFonts w:ascii="Arial" w:cs="Arial" w:eastAsia="Arial" w:hAnsi="Arial"/>
          <w:b/>
          <w:bCs/>
          <w:color w:val="2471A3"/>
          <w:sz w:val="24"/>
          <w:szCs w:val="24"/>
        </w:rPr>
        <w:t xml:space="preserve">Background</w:t>
      </w:r>
    </w:p>
    <w:p>
      <w:pPr>
        <w:spacing w:after="80" w:before="60" w:line="276"/>
      </w:pPr>
      <w:r>
        <w:rPr>
          <w:rFonts w:ascii="Arial" w:cs="Arial" w:eastAsia="Arial" w:hAnsi="Arial"/>
          <w:sz w:val="22"/>
          <w:szCs w:val="22"/>
        </w:rPr>
        <w:t xml:space="preserve">This task tests the opposite end of the wind spectrum from Task 4-2: instead of high demand, we reduce supply. A cold, windless winter day with a dry year could cause exactly this kind of 'compound scarcity' — no wind, reduced hydro, but full demand. This is a stress test for grid resilience.</w:t>
      </w:r>
    </w:p>
    <w:p>
      <w:pPr>
        <w:spacing w:after="80" w:before="80"/>
      </w:pPr>
    </w:p>
    <w:p>
      <w:pPr>
        <w:pStyle w:val="Heading3"/>
        <w:spacing w:after="80" w:before="200"/>
      </w:pPr>
      <w:r>
        <w:rPr>
          <w:rFonts w:ascii="Arial" w:cs="Arial" w:eastAsia="Arial" w:hAnsi="Arial"/>
          <w:b/>
          <w:bCs/>
          <w:color w:val="2471A3"/>
          <w:sz w:val="24"/>
          <w:szCs w:val="24"/>
        </w:rPr>
        <w:t xml:space="preserve">Our Solution</w:t>
      </w:r>
    </w:p>
    <w:p>
      <w:pPr>
        <w:spacing w:after="60" w:before="160"/>
      </w:pPr>
      <w:r>
        <w:rPr>
          <w:rFonts w:ascii="Arial" w:cs="Arial" w:eastAsia="Arial" w:hAnsi="Arial"/>
          <w:b/>
          <w:bCs/>
          <w:color w:val="154360"/>
          <w:sz w:val="22"/>
          <w:szCs w:val="22"/>
          <w:u w:val="single"/>
        </w:rPr>
        <w:t xml:space="preserve">Scenario-by-scenario price analysis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300"/>
        <w:gridCol w:w="150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Scenario</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System Cost</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Load Shed</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Price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wind (19,100 MW)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2,068,670 €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58.24 €/MWh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 wind (25% = 4,775 MW)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2,956,939 €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63.78 €/MWh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wind (0 MW)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3,292,168 €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71.92 €/MWh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Compound (no wind + hydro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6,281,330 €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 MW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3,200 €/MWh</w:t>
            </w:r>
          </w:p>
        </w:tc>
      </w:tr>
    </w:tbl>
    <w:p>
      <w:pPr>
        <w:spacing w:after="80" w:before="80"/>
      </w:pPr>
    </w:p>
    <w:p>
      <w:pPr>
        <w:spacing w:after="80" w:before="60" w:line="276"/>
      </w:pPr>
      <w:r>
        <w:rPr>
          <w:rFonts w:ascii="Arial" w:cs="Arial" w:eastAsia="Arial" w:hAnsi="Arial"/>
          <w:sz w:val="22"/>
          <w:szCs w:val="22"/>
        </w:rPr>
        <w:t xml:space="preserve">Walking through each transition:</w:t>
      </w:r>
    </w:p>
    <w:p>
      <w:pPr>
        <w:pStyle w:val="ListParagraph"/>
        <w:numPr>
          <w:ilvl w:val="0"/>
          <w:numId w:val="2"/>
        </w:numPr>
        <w:spacing w:after="40" w:before="40" w:line="260"/>
      </w:pPr>
      <w:r>
        <w:rPr>
          <w:rFonts w:ascii="Arial" w:cs="Arial" w:eastAsia="Arial" w:hAnsi="Arial"/>
          <w:sz w:val="22"/>
          <w:szCs w:val="22"/>
        </w:rPr>
        <w:t xml:space="preserve">Full wind → Low wind (25%): Average price rises from 58.24 to 63.78 €/MWh (+9.5%). FI (59 €/MWh) becomes marginal in the eastern cluster; DK1/DK2 jump to 93 €/MWh as Danish thermal ramps up. NO4 rises from 27 to 41 €/MWh. Merit-order effect partially reversed.</w:t>
      </w:r>
    </w:p>
    <w:p>
      <w:pPr>
        <w:pStyle w:val="ListParagraph"/>
        <w:numPr>
          <w:ilvl w:val="0"/>
          <w:numId w:val="2"/>
        </w:numPr>
        <w:spacing w:after="40" w:before="40" w:line="260"/>
      </w:pPr>
      <w:r>
        <w:rPr>
          <w:rFonts w:ascii="Arial" w:cs="Arial" w:eastAsia="Arial" w:hAnsi="Arial"/>
          <w:sz w:val="22"/>
          <w:szCs w:val="22"/>
        </w:rPr>
        <w:t xml:space="preserve">Low wind → No wind: Average rises to 71.92 €/MWh (the Task 3-2 base case — identical, as expected: removing all wind simply returns the system to pre-wind dispatch).</w:t>
      </w:r>
    </w:p>
    <w:p>
      <w:pPr>
        <w:pStyle w:val="ListParagraph"/>
        <w:numPr>
          <w:ilvl w:val="0"/>
          <w:numId w:val="2"/>
        </w:numPr>
        <w:spacing w:after="40" w:before="40" w:line="260"/>
      </w:pPr>
      <w:r>
        <w:rPr>
          <w:rFonts w:ascii="Arial" w:cs="Arial" w:eastAsia="Arial" w:hAnsi="Arial"/>
          <w:sz w:val="22"/>
          <w:szCs w:val="22"/>
        </w:rPr>
        <w:t xml:space="preserve">No wind + hydro −30% (Compound scarcity): Total system capacity (59,700 MW) falls below total demand (60,600 MW). SE4 sheds 900 MW at 3,200 €/MWh. Because all zones are electrically connected and no transmission constraint is binding at these demand levels, the 3,200 €/MWh scarcity price propagates to all 12 zones simultaneously.</w:t>
      </w:r>
    </w:p>
    <w:p>
      <w:pPr>
        <w:spacing w:after="80" w:before="80"/>
      </w:pPr>
    </w:p>
    <w:p>
      <w:pPr>
        <w:spacing w:after="60" w:before="160"/>
      </w:pPr>
      <w:r>
        <w:rPr>
          <w:rFonts w:ascii="Arial" w:cs="Arial" w:eastAsia="Arial" w:hAnsi="Arial"/>
          <w:b/>
          <w:bCs/>
          <w:color w:val="154360"/>
          <w:sz w:val="22"/>
          <w:szCs w:val="22"/>
          <w:u w:val="single"/>
        </w:rPr>
        <w:t xml:space="preserve">Congestion patterns</w:t>
      </w:r>
    </w:p>
    <w:p>
      <w:pPr>
        <w:spacing w:after="80" w:before="60" w:line="276"/>
      </w:pPr>
      <w:r>
        <w:rPr>
          <w:rFonts w:ascii="Arial" w:cs="Arial" w:eastAsia="Arial" w:hAnsi="Arial"/>
          <w:sz w:val="22"/>
          <w:szCs w:val="22"/>
        </w:rPr>
        <w:t xml:space="preserve">As wind decreases, congestion reverts toward the base-case structure: NO4→SE1 returns to binding (700 MW); SE3→FI HVDC falls from 1,200 (binding in full-wind case) to 585 MW (non-binding); NO2→DK1 HVDC reverses from −1,280 back to +1,632 MW, restoring the normal Norway-to-Denmark export direction.</w:t>
      </w:r>
    </w:p>
    <w:p>
      <w:pPr>
        <w:spacing w:after="80" w:before="60" w:line="276"/>
      </w:pPr>
      <w:r>
        <w:rPr>
          <w:rFonts w:ascii="Arial" w:cs="Arial" w:eastAsia="Arial" w:hAnsi="Arial"/>
          <w:sz w:val="22"/>
          <w:szCs w:val="22"/>
        </w:rPr>
        <w:t xml:space="preserve">In the compound scenario, reduced Norwegian hydro shifts binding constraints to internal Swedish lines — a different structural pattern from any other scenario.</w:t>
      </w:r>
    </w:p>
    <w:p>
      <w:pPr>
        <w:spacing w:after="80" w:before="80"/>
      </w:pPr>
    </w:p>
    <w:p>
      <w:pPr>
        <w:spacing w:after="60" w:before="160"/>
      </w:pPr>
      <w:r>
        <w:rPr>
          <w:rFonts w:ascii="Arial" w:cs="Arial" w:eastAsia="Arial" w:hAnsi="Arial"/>
          <w:b/>
          <w:bCs/>
          <w:color w:val="154360"/>
          <w:sz w:val="22"/>
          <w:szCs w:val="22"/>
          <w:u w:val="single"/>
        </w:rPr>
        <w:t xml:space="preserve">Congestion rents</w:t>
      </w:r>
    </w:p>
    <w:p>
      <w:pPr>
        <w:spacing w:after="80" w:before="60" w:line="276"/>
      </w:pPr>
      <w:r>
        <w:rPr>
          <w:rFonts w:ascii="Arial" w:cs="Arial" w:eastAsia="Arial" w:hAnsi="Arial"/>
          <w:sz w:val="22"/>
          <w:szCs w:val="22"/>
        </w:rPr>
        <w:t xml:space="preserve">There is a counterintuitive but important result: the most extreme scarcity scenario (compound) produces zero congestion rent, while the high-wind scenario produces the highest rent (195,798 €). Why? Congestion rent requires a price differential across a line. In compound scarcity, all 12 zones share 3,200 €/MWh — every price differential is zero, so every congestion rent is zero. Maximum scarcity = uniform shedding price = zero rent.</w:t>
      </w:r>
    </w:p>
    <w:p>
      <w:pPr>
        <w:spacing w:after="80" w:before="80"/>
      </w:pPr>
    </w:p>
    <w:p>
      <w:pPr>
        <w:spacing w:after="60" w:before="160"/>
      </w:pPr>
      <w:r>
        <w:rPr>
          <w:rFonts w:ascii="Arial" w:cs="Arial" w:eastAsia="Arial" w:hAnsi="Arial"/>
          <w:b/>
          <w:bCs/>
          <w:color w:val="154360"/>
          <w:sz w:val="22"/>
          <w:szCs w:val="22"/>
          <w:u w:val="single"/>
        </w:rPr>
        <w:t xml:space="preserve">Zones with largest price spikes</w:t>
      </w:r>
    </w:p>
    <w:p>
      <w:pPr>
        <w:pStyle w:val="ListParagraph"/>
        <w:numPr>
          <w:ilvl w:val="0"/>
          <w:numId w:val="2"/>
        </w:numPr>
        <w:spacing w:after="40" w:before="40" w:line="260"/>
      </w:pPr>
      <w:r>
        <w:rPr>
          <w:rFonts w:ascii="Arial" w:cs="Arial" w:eastAsia="Arial" w:hAnsi="Arial"/>
          <w:sz w:val="22"/>
          <w:szCs w:val="22"/>
        </w:rPr>
        <w:t xml:space="preserve">Wind-reduction scenarios: Denmark sees the largest swings. DK1/DK2 rise from 55–77 €/MWh (full wind) to 93 €/MWh (no wind), a swing of 16–38 €/MWh. Zero-cost wind had been suppressing local thermal prices completely; its removal fully restores them.</w:t>
      </w:r>
    </w:p>
    <w:p>
      <w:pPr>
        <w:pStyle w:val="ListParagraph"/>
        <w:numPr>
          <w:ilvl w:val="0"/>
          <w:numId w:val="2"/>
        </w:numPr>
        <w:spacing w:after="40" w:before="40" w:line="260"/>
      </w:pPr>
      <w:r>
        <w:rPr>
          <w:rFonts w:ascii="Arial" w:cs="Arial" w:eastAsia="Arial" w:hAnsi="Arial"/>
          <w:sz w:val="22"/>
          <w:szCs w:val="22"/>
        </w:rPr>
        <w:t xml:space="preserve">Compound scarcity: SE4 bears the physical impact (900 MW shed), but the shedding price propagates through the PTDF-coupled network to all 12 zones, including Norwegian zones.</w:t>
      </w:r>
    </w:p>
    <w:p>
      <w:pPr>
        <w:spacing w:after="80" w:before="80"/>
      </w:pPr>
    </w:p>
    <w:p>
      <w:pPr>
        <w:spacing w:after="60" w:before="160"/>
      </w:pPr>
      <w:r>
        <w:rPr>
          <w:rFonts w:ascii="Arial" w:cs="Arial" w:eastAsia="Arial" w:hAnsi="Arial"/>
          <w:b/>
          <w:bCs/>
          <w:color w:val="154360"/>
          <w:sz w:val="22"/>
          <w:szCs w:val="22"/>
          <w:u w:val="single"/>
        </w:rPr>
        <w:t xml:space="preserve">Do interconnectors mitigate or amplify scarcity?</w:t>
      </w:r>
    </w:p>
    <w:p>
      <w:pPr>
        <w:spacing w:after="80" w:before="60" w:line="276"/>
      </w:pPr>
      <w:r>
        <w:rPr>
          <w:rFonts w:ascii="Arial" w:cs="Arial" w:eastAsia="Arial" w:hAnsi="Arial"/>
          <w:sz w:val="22"/>
          <w:szCs w:val="22"/>
        </w:rPr>
        <w:t xml:space="preserve">Both — and the answer depends on which dimension you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Dimension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Effect</w:t>
            </w:r>
          </w:p>
        </w:tc>
        <w:tc>
          <w:tcPr>
            <w:tcW w:type="dxa" w:w="5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Physical scarcity (load shedding)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MITIGATE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SE3→SE4 delivers 4,300 MW of imports, reducing SE4's potential 2,400 MW shortfall to 900 MW. Finland avoids shedding entirely through SE1→FI and SE3→FI imports.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Price exposure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AMPLIFY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Without interconnection, only SE4 would face 3,200 €/MWh. Interconnectors spread the scarcity price to all 12 zones simultaneously.</w:t>
            </w:r>
          </w:p>
        </w:tc>
      </w:tr>
    </w:tbl>
    <w:p>
      <w:pPr>
        <w:spacing w:after="80" w:before="60" w:line="276"/>
      </w:pPr>
      <w:r>
        <w:rPr>
          <w:rFonts w:ascii="Arial" w:cs="Arial" w:eastAsia="Arial" w:hAnsi="Arial"/>
          <w:sz w:val="22"/>
          <w:szCs w:val="22"/>
        </w:rPr>
        <w:t xml:space="preserve">Interconnectors reduce the volume of load that is physically shed, but they simultaneously price all connected consumers at the scarcity level. This is the fundamental trade-off: physical security vs price exposure.</w:t>
      </w:r>
    </w:p>
    <w:p>
      <w:pPr>
        <w:spacing w:after="80" w:before="80"/>
      </w:pPr>
    </w:p>
    <w:p>
      <w:pPr>
        <w:spacing w:after="60" w:before="160"/>
      </w:pPr>
      <w:r>
        <w:rPr>
          <w:rFonts w:ascii="Arial" w:cs="Arial" w:eastAsia="Arial" w:hAnsi="Arial"/>
          <w:b/>
          <w:bCs/>
          <w:color w:val="154360"/>
          <w:sz w:val="22"/>
          <w:szCs w:val="22"/>
          <w:u w:val="single"/>
        </w:rPr>
        <w:t xml:space="preserve">How wind exposes marginal thermal pricing</w:t>
      </w:r>
    </w:p>
    <w:p>
      <w:pPr>
        <w:spacing w:after="80" w:before="60" w:line="276"/>
      </w:pPr>
      <w:r>
        <w:rPr>
          <w:rFonts w:ascii="Arial" w:cs="Arial" w:eastAsia="Arial" w:hAnsi="Arial"/>
          <w:sz w:val="22"/>
          <w:szCs w:val="22"/>
        </w:rPr>
        <w:t xml:space="preserve">With full wind, 19,100 MW of zero-cost generation suppresses prices to 27–77 €/MWh. Each lost MW of wind is replaced by the next merit-order unit: at 25% wind, the marginal generator shifts from SE3 (55 €/MWh) to FI (59 €/MWh). At zero wind, SE4 (70 €/MWh) becomes marginal again. The spread between full-wind conditions (NO4 at 27 €/MWh) and compound scarcity (3,200 €/MWh system-wide) — a factor of 118 — defines the volatility envelope introduced by variable renewable integration.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8F5" w:val="clear"/>
            <w:tcMar>
              <w:top w:type="dxa" w:w="120"/>
              <w:left w:type="dxa" w:w="160"/>
              <w:bottom w:type="dxa" w:w="120"/>
              <w:right w:type="dxa" w:w="160"/>
            </w:tcMar>
          </w:tcPr>
          <w:p>
            <w:pPr>
              <w:spacing w:after="60" w:before="0"/>
            </w:pPr>
            <w:r>
              <w:rPr>
                <w:rFonts w:ascii="Arial" w:cs="Arial" w:eastAsia="Arial" w:hAnsi="Arial"/>
                <w:b/>
                <w:bCs/>
                <w:color w:val="1A3A5C"/>
                <w:sz w:val="20"/>
                <w:szCs w:val="20"/>
              </w:rPr>
              <w:t xml:space="preserve">KEY TAKEAWAY</w:t>
            </w:r>
          </w:p>
          <w:p>
            <w:pPr>
              <w:spacing w:after="0" w:before="0" w:line="276"/>
            </w:pPr>
            <w:r>
              <w:rPr>
                <w:rFonts w:ascii="Arial" w:cs="Arial" w:eastAsia="Arial" w:hAnsi="Arial"/>
                <w:sz w:val="22"/>
                <w:szCs w:val="22"/>
              </w:rPr>
              <w:t xml:space="preserve">Key insight: Managing price volatility in a high-wind system is one of the central challenges of the energy transition. The tools are storage (to absorb surplus and discharge during scarcity), demand response (voluntary load reduction at lower cost than VoLL), and interconnection (physical risk mitigation, but with price-exposure trade-off).</w:t>
            </w:r>
          </w:p>
        </w:tc>
      </w:tr>
    </w:tbl>
    <w:p>
      <w:pPr>
        <w:spacing w:after="80" w:before="80"/>
      </w:pPr>
    </w:p>
    <w:p>
      <w:r>
        <w:br w:type="page"/>
      </w:r>
    </w:p>
    <w:p>
      <w:pPr>
        <w:pStyle w:val="Heading1"/>
        <w:spacing w:after="120" w:before="360"/>
      </w:pPr>
      <w:r>
        <w:rPr>
          <w:rFonts w:ascii="Arial" w:cs="Arial" w:eastAsia="Arial" w:hAnsi="Arial"/>
          <w:b/>
          <w:bCs/>
          <w:color w:val="1A3A5C"/>
          <w:sz w:val="34"/>
          <w:szCs w:val="34"/>
        </w:rPr>
        <w:t xml:space="preserve">Quick Reference Summary</w:t>
      </w:r>
    </w:p>
    <w:p>
      <w:pPr>
        <w:spacing w:after="80" w:before="60" w:line="276"/>
      </w:pPr>
      <w:r>
        <w:rPr>
          <w:rFonts w:ascii="Arial" w:cs="Arial" w:eastAsia="Arial" w:hAnsi="Arial"/>
          <w:sz w:val="22"/>
          <w:szCs w:val="22"/>
        </w:rPr>
        <w:t xml:space="preserve">Use this page during the presentation as a one-stop reminder of every scenario's key numbers.</w:t>
      </w:r>
    </w:p>
    <w:p>
      <w:pPr>
        <w:spacing w:after="80" w:before="80"/>
      </w:pPr>
    </w:p>
    <w:p>
      <w:pPr>
        <w:pStyle w:val="Heading2"/>
        <w:spacing w:after="100" w:before="280"/>
      </w:pPr>
      <w:r>
        <w:rPr>
          <w:rFonts w:ascii="Arial" w:cs="Arial" w:eastAsia="Arial" w:hAnsi="Arial"/>
          <w:b/>
          <w:bCs/>
          <w:color w:val="1F618D"/>
          <w:sz w:val="28"/>
          <w:szCs w:val="28"/>
        </w:rPr>
        <w:t xml:space="preserve">Problem 3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Scenario</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Price Range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 Wet Year FBMC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3,292,168 €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62.49–93 €/MWh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binding AC lines; NO5→NO2 most constraining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 Wet Year ATC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3,265,108 €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Uniform 77 €/MWh (except DK at 93)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 binding lines; loop flows ignored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 Dry Year FBMC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5,062,341 €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78–114 €/MWh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Norway from +3,076 to −1,871 MW net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 Dry Year ATC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5,056,200 €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Uniform 114 €/MWh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Zero congestion 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 Nuclear Phaseout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12,454,629 €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27–93 €/MWh (NO) / 3,200 €/MWh (SE/FI/DK2)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2,862 MW shed at SE4, FI, DK2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 CO2 @ 65 €/t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3,426,204 €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Rises by 0.07–10.08 €/MWh by zone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Only DK1↔DK2 swap; −2% emissions</w:t>
            </w:r>
          </w:p>
        </w:tc>
      </w:tr>
    </w:tbl>
    <w:p>
      <w:pPr>
        <w:spacing w:after="80" w:before="80"/>
      </w:pPr>
    </w:p>
    <w:p>
      <w:pPr>
        <w:pStyle w:val="Heading2"/>
        <w:spacing w:after="100" w:before="280"/>
      </w:pPr>
      <w:r>
        <w:rPr>
          <w:rFonts w:ascii="Arial" w:cs="Arial" w:eastAsia="Arial" w:hAnsi="Arial"/>
          <w:b/>
          <w:bCs/>
          <w:color w:val="1F618D"/>
          <w:sz w:val="28"/>
          <w:szCs w:val="28"/>
        </w:rPr>
        <w:t xml:space="preserve">Problem 4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Scenario</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Total Cost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Prices</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4-1 Full Wind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2,068,670 €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27–77 €/MWh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 cost; new bottlenecks on SE2→SE3, SE1→FI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 Scenarios A &amp; B (+10/20% 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2,102–2,137 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Unchanged (55 €/MWh SE3 marginal)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price spike; system in flat regime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 Stress test (+30% all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3,647,425 €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~73 €/MWh + Finland 3,200 €/MWh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SE3 fully dispatched; SE1→FI saturates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 Low Wind (25%)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2,956,939 €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63.78 €/MWh avg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Danish thermal re-enters; merit order shifts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 No Wind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3,292,168 €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71.92 €/MWh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Identical to base case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4-3 Compound Scarcity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6,281,330 €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3,200 €/MWh (all zones)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900 MW shed SE4; zero congestion rent</w:t>
            </w:r>
          </w:p>
        </w:tc>
      </w:tr>
    </w:tbl>
    <w:p>
      <w:pPr>
        <w:spacing w:after="80" w:before="80"/>
      </w:pPr>
    </w:p>
    <w:p>
      <w:pPr>
        <w:pBdr>
          <w:bottom w:val="single" w:color="2E75B6" w:sz="6" w:space="1"/>
        </w:pBdr>
        <w:spacing w:after="120" w:before="120"/>
      </w:pPr>
    </w:p>
    <w:p>
      <w:pPr>
        <w:spacing w:after="100" w:before="200"/>
        <w:jc w:val="center"/>
      </w:pPr>
      <w:r>
        <w:rPr>
          <w:rFonts w:ascii="Arial" w:cs="Arial" w:eastAsia="Arial" w:hAnsi="Arial"/>
          <w:color w:val="888888"/>
          <w:sz w:val="18"/>
          <w:szCs w:val="18"/>
        </w:rPr>
        <w:t xml:space="preserve">TET4185 Power Markets — Course Project Spring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TET4185 Power Markets – Project Walkthrough: Problems 3 &amp;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F618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2026-05-03T20:26:25.010Z</dcterms:created>
  <dcterms:modified xsi:type="dcterms:W3CDTF">2026-05-03T20:26:25.011Z</dcterms:modified>
</cp:coreProperties>
</file>

<file path=docProps/custom.xml><?xml version="1.0" encoding="utf-8"?>
<Properties xmlns="http://schemas.openxmlformats.org/officeDocument/2006/custom-properties" xmlns:vt="http://schemas.openxmlformats.org/officeDocument/2006/docPropsVTypes"/>
</file>