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52"/>
          <w:szCs w:val="52"/>
        </w:rPr>
        <w:t xml:space="preserve">AIROOBI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32"/>
          <w:szCs w:val="32"/>
        </w:rPr>
        <w:t xml:space="preserve">Sitemap &amp; Product Structure</w:t>
      </w:r>
    </w:p>
    <w:p>
      <w:pPr>
        <w:pBdr>
          <w:bottom w:val="single" w:color="EDEDE9" w:sz="6" w:space="4"/>
        </w:pBdr>
        <w:spacing w:after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B63"/>
          <w:sz w:val="22"/>
          <w:szCs w:val="22"/>
        </w:rPr>
        <w:t xml:space="preserve">Architettura DApp · Routing · UX Flow · Business Section</w:t>
      </w:r>
    </w:p>
    <w:p>
      <w:pPr>
        <w:spacing w:after="4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5A59E"/>
          <w:sz w:val="18"/>
          <w:szCs w:val="18"/>
        </w:rPr>
        <w:t xml:space="preserve">TECH-002  ·  Version 1.1 · Final  ·  20 Febbraio 2026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1. Sitemap Completa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1.1 Public Pages (Pre-Auth)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Page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Route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Landing / Auth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Splash screen con login, signup, selezione UTENTE/AZIENDA, codice invito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Video Interstitial Login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/auth/video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Video sponsor 15s obbligatorio prima dell'accesso — poi redirect a /app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Terms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/terms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Termini e condizioni d'uso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Privacy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/privacy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Privacy policy e GDPR compliance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Contact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/contact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Form contatti e supporto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1.2 Authenticated Pages — Utente Standard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9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Page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Route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Airdrop List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Grid airdrop P2P + Business, filtri categoria, KYC banner, search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Airdrop Detail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/app/airdrop/:id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Dettaglio oggetto, countdown, buy panel con selezione blocchi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Video — Acquisto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/app/airdrop/:id/video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Video 15s obbligatorio → poi conferma acquisto blocchi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Acquista AICO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/app/buy-aico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Pacchetti AICO (100/500/1k/5k), metodi pagamento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Swap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/app/swap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NFT→AICO e AICO/NFT→KAS/USDT con video obbligatorio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Video — Swap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/app/swap/video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Video 15s obbligatorio → poi esecuzione swap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Dashboard Utente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/app/dashboard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Stats personali: AICO, NFT, airdrop partecipati, storico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NFT Reward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/app/nft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Portafoglio NFT, valore Treasury, storico acquisizioni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Treasury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/app/treasury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Visualizzazione pubblica Treasury: accumulo, PEG, NFT in circolazione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Proponi Oggetto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/app/sell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Form submission oggetto P2P + richiesta valutazione + video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Leaderboard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/app/leaderboard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Classifica utenti per blocchi acquistati, NFT accumulati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Charity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/app/charity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Treasury Charity, cause attive, storico donazioni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Mission &amp; Rewards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/app/mission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Obiettivi, badge, progressione utente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Profilo / KYC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/app/profile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Dati utente, stato KYC, wallet Kaspa, preferenze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Help / FAQ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/app/help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Guide, FAQ, chat support</w:t>
            </w:r>
          </w:p>
        </w:tc>
      </w:tr>
    </w:tbl>
    <w:p>
      <w:pPr>
        <w:spacing w:before="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1.3 Business Section — Account Azienda (dopo approvazione)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3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Page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Route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Richiesta Business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/app/profile/upgrade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Form upgrade Utente→Business: ragione sociale, P.IVA, referente, settore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Business Dashboard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/app/business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Statistiche campagne: utenti raggiunti, azioni completate, budget speso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Crea Campagna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/app/business/create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Wizard 4-step: Dettagli → Azioni richieste → Target → Riepilogo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Dettaglio Campagna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/app/business/campaign/:id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Analytics campagna, performance, oggetti distribuiti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Business Airdrop (public)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/app/airdrop?type=business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Lista airdrop Business visibili agli utenti (badge "Business")</w:t>
            </w:r>
          </w:p>
        </w:tc>
      </w:tr>
    </w:tbl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2. UX Flow Principali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2.1 Flusso Acquisto Blocchi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User naviga lista airdrop → seleziona oggetto → visualizza dettaglio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Seleziona N blocchi → sistema mostra riepilogo (N × prezzo_AICO = totale AICO · €X · N NFT)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Preme "Acquista" → VIDEO INTERSTITIAL 15s (sponsor, non-skippabile)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Dopo video: conferma automatica → blocchi assegnati → NFT mintati su Kaspa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Notifica push: "Hai acquistato X blocchi! I tuoi Y NFT valgono €Z"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2.2 Flusso Login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User su landing → inserisce email/password → preme "Accedi"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VIDEO INTERSTITIAL 15s (obbligatorio) → dopo video: accesso app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First login: KYC prompt → completamento → sblocco pieno accesso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</w:rPr>
        <w:t xml:space="preserve">2.3 Flusso Registrazione Azienda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User seleziona "Azienda" in signup → form espanso (ragione sociale, P.IVA, settore, referente)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Submit → richiesta pendente → AIROOBI review (3 gg lavorativi)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Approvazione: email con credenziali Business Dashboard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Business Dashboard: crea campagna → wizard → submit per approvazione AIROOBI (fattibilità)</w:t>
      </w:r>
    </w:p>
    <w:p>
      <w:pPr>
        <w:pStyle w:val="Heading1"/>
        <w:pBdr>
          <w:bottom w:val="single" w:color="EDEDE9" w:sz="6" w:space="2"/>
        </w:pBdr>
        <w:spacing w:before="360" w:after="160"/>
      </w:pPr>
      <w:r>
        <w:rPr>
          <w:rFonts w:ascii="Arial" w:cs="Arial" w:eastAsia="Arial" w:hAnsi="Arial"/>
          <w:b/>
          <w:bCs/>
          <w:i w:val="false"/>
          <w:iCs w:val="false"/>
          <w:color w:val="0A0A0A"/>
          <w:sz w:val="28"/>
          <w:szCs w:val="28"/>
        </w:rPr>
        <w:t xml:space="preserve">3. Architettura File System (Alpha)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838"/>
      </w:tblGrid>
      <w:tr>
        <w:trPr>
          <w:tblHeader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File/Directory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Contenuto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0A0A0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AFAFA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index.html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Landing page + auth (login/signup)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Entry point pubblico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app.html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DApp principale SPA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Tutte le pagine app via JS routing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business.html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Business dashboard (o sezione di app.html)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Richiede token Business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/assets/logo/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Logo_long_airoobi_transparent.png + Logo_short_airoobi_transparent.png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Logo ufficiali finali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/assets/fonts/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Cormorant Garamond + Instrument Sans + DM Mono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Google Fonts CDN o locale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/assets/icons/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Font Awesome 6.5.1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CDN Cloudflare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/contracts/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Smart contract Kaspa KRC-20 (AICO + NFT)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Kaspa mainnet/testnet</w:t>
            </w:r>
          </w:p>
        </w:tc>
      </w:tr>
      <w:tr>
        <w:trPr>
          <w:tblHeader w:val="false"/>
        </w:trPr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/api/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7F7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Backend endpoints (valutazione, KYC, Treasury, video)</w:t>
            </w:r>
          </w:p>
        </w:tc>
        <w:tc>
          <w:tcPr>
            <w:tcBorders>
              <w:top w:val="single" w:color="EDEDE9" w:sz="4"/>
              <w:left w:val="nil" w:color="FFFFFF" w:sz="0"/>
              <w:bottom w:val="single" w:color="EDEDE9" w:sz="4"/>
              <w:right w:val="nil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C36"/>
                <w:sz w:val="19"/>
                <w:szCs w:val="19"/>
              </w:rPr>
              <w:t xml:space="preserve">Node.js + Kaspa SDK</w:t>
            </w:r>
          </w:p>
        </w:tc>
      </w:tr>
    </w:tbl>
    <w:p>
      <w:pPr>
        <w:spacing w:before="0" w:after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A0A0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DE9" w:sz="4" w:space="4"/>
      </w:pBdr>
      <w:tabs>
        <w:tab w:val="right" w:pos="9638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A5A59E"/>
        <w:sz w:val="16"/>
        <w:szCs w:val="16"/>
      </w:rPr>
      <w:t xml:space="preserve">TECH-002  ·  Version 1.1 · Final  ·  AIROOBI Confidential  ·  2026</w:t>
    </w:r>
    <w:r>
      <w:rPr>
        <w:rFonts w:ascii="Arial" w:cs="Arial" w:eastAsia="Arial" w:hAnsi="Arial"/>
        <w:color w:val="A5A59E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DE9" w:sz="6" w:space="1"/>
      </w:pBdr>
      <w:spacing w:after="80"/>
    </w:pPr>
    <w:r>
      <w:drawing>
        <wp:inline distT="0" distB="0" distL="0" distR="0">
          <wp:extent cx="1524000" cy="800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Arial" w:cs="Arial" w:eastAsia="Arial" w:hAnsi="Arial"/>
        <w:sz w:val="21"/>
        <w:szCs w:val="21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32e322e89f417f918abfbcc0f3572b7f0d2a7e9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b466c38bad2f40566d49627552f63a8fbdca87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2026-02-20T19:53:30.158Z</dcterms:created>
  <dcterms:modified xsi:type="dcterms:W3CDTF">2026-02-20T19:53:30.158Z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