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52"/>
          <w:szCs w:val="52"/>
        </w:rPr>
        <w:t xml:space="preserve">AIROOBI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2"/>
          <w:szCs w:val="32"/>
        </w:rPr>
        <w:t xml:space="preserve">Blue Ocean &amp; Competitive Analysis</w:t>
      </w:r>
    </w:p>
    <w:p>
      <w:pPr>
        <w:pBdr>
          <w:bottom w:val="single" w:color="EDEDE9" w:sz="6" w:space="4"/>
        </w:pBd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3"/>
          <w:sz w:val="22"/>
          <w:szCs w:val="22"/>
        </w:rPr>
        <w:t xml:space="preserve">Abell Model · Posizionamento strategico · Spazio competitivo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5A59E"/>
          <w:sz w:val="18"/>
          <w:szCs w:val="18"/>
        </w:rPr>
        <w:t xml:space="preserve">STR-001  ·  Version 1.2 · Final  ·  20 Febbraio 2026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1. Il Modello di Abell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modello di Abell (Three-Dimensional Business Definition) definisce un business lungo tre dimensioni ortogonali: CHI serve (Customer Groups), COSA soddisfa (Customer Functions/Needs), COME lo soddisfa (Technologies/Competencies). Due business occupano lo stesso spazio competitivo solo se coincidono su tutte e tre le dimensioni.</w:t>
      </w:r>
    </w:p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Un Blue Ocean esiste quando una combinazione delle tre dimensioni è unica o quando elementi esistenti vengono ricombinati in modo nuovo, creando valore che nessun competitor attuale offre.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2. AIROOBI — Definizione Abell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2.1 CHI (Customer Groups)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700"/>
        <w:gridCol w:w="22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Segmento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Caratteristiche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Dimensione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Partecipanti Community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Persone che vogliono accesso democratico a beni costosi con fairness strutturale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B2C demand-side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Opportunità, fairness, zero perdita secca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Venditori P2P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Privati con oggetti &gt;€500 da monetizzare rapidamente senza intermediari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B2C supply-side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Liquidità, velocità, prezzo garantito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Aziende Corporate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Brand che cercano reach targettizzato misurabile con engagement autentico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B2B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ROI misurabile, targeting KYC, brand association fairness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2.2 COSA (Customer Functions/Needs)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1800"/>
        <w:gridCol w:w="29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Bisogno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Partecipante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Venditore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Azienda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Accesso beni premium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✓ Core need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Zero rischio perdita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✓ Differenziante chiave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Liquidità rapida oggetti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✓ Core need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Prezzo equo garantito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✓ Differenziante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Reach utenti verificati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✓ Core need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ROI tracciato on-chain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✓ Differenziante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Trasparenza totale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✓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2.3 COME (Technologies/Competencies)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Blockchain Kaspa (GHOSTDAG) — trasparenza, immutabilità, velocità 1-2s conferma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NFT REWARD con PEG Treasury — asset reale invece di "chance" pura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Smart contract pubblici — ogni regola codificata e immutabile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KYC obbligatorio — fairness strutturale, un utente = un'identità verificata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Video Advertising integrato — revenue stream aggiuntivo che sostiene la Treasury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3. Analisi Competitor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700"/>
        <w:gridCol w:w="1800"/>
        <w:gridCol w:w="21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Competitor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Modello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CHI serve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COSA offre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Differenza da AIROOBI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eBay / Subito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Marketplace tradizionale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Compratori + venditori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Vendita diretta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No fairness, no NFT, no blockchain, prezzo non democratico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Lotterie classiche (AAMS)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Gioco d'azzardo regolamentato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Giocatori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Chance di vincere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Perdita secca, no asset, gambling — AIROOBI è opposto strutturale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NFT Marketplace (OpenSea)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Vendita NFT digitali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Crypto-native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Oggetti digitali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No oggetti fisici, no fairness meccanica, speculativo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Whatnot / Goldin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Live auction oggetti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Collezionisti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Acquisto competitivo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Chi ha più denaro vince — no democratizzazione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Crypto Airdrop platform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Distribuzione token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Holder crypto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Token gratuiti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No oggetti fisici, no valore reale garantito</w:t>
            </w:r>
          </w:p>
        </w:tc>
      </w:tr>
    </w:tbl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4. Il Blue Ocean AIROOBI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Nessun competitor esistente occupa lo spazio tridimensionale di AIROOBI: tri-sided marketplace (partecipanti + venditori + aziende), oggetti fisici reali, fairness strutturale con zero perdita secca, blockchain-native con NFT asset-backed. Questo è un vero Blue Ocean.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3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Asse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Red Ocean (competitor)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Blue Ocean (AIROOBI)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Rischio utente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Alto (perdita totale in gambling) o Zero (regali gratuiti)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Minimo (NFT con valore reale garantito ≥95%)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Oggetti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Solo digitali (crypto airdrop) o Solo fisici (marketplace)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Fisici reali + NFT digitali linked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Fairness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Chi ha più denaro vince (auction) o Pura fortuna (lottery)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Proporzionale ai blocchi — trasparente, verificabile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Revenue model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Commissioni vendita O advertising puro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Fee + Advertising + Corporate + Treasury — multi-stream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Blockchain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Non usata O usata per speculazione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Infrastruttura di fairness e trasparenza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DE9" w:sz="4" w:space="4"/>
      </w:pBdr>
      <w:tabs>
        <w:tab w:val="right" w:pos="9638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A5A59E"/>
        <w:sz w:val="16"/>
        <w:szCs w:val="16"/>
      </w:rPr>
      <w:t xml:space="preserve">STR-001  ·  Version 1.2 · Final  ·  AIROOBI Confidential  ·  2026</w:t>
    </w:r>
    <w:r>
      <w:rPr>
        <w:rFonts w:ascii="Arial" w:cs="Arial" w:eastAsia="Arial" w:hAnsi="Arial"/>
        <w:color w:val="A5A59E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DE9" w:sz="6" w:space="1"/>
      </w:pBdr>
      <w:spacing w:after="80"/>
    </w:pPr>
    <w:r>
      <w:drawing>
        <wp:inline distT="0" distB="0" distL="0" distR="0">
          <wp:extent cx="1524000" cy="800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90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32e322e89f417f918abfbcc0f3572b7f0d2a7e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b466c38bad2f40566d49627552f63a8fbdca8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2026-02-20T19:53:30.578Z</dcterms:created>
  <dcterms:modified xsi:type="dcterms:W3CDTF">2026-02-20T19:53:30.578Z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