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Cost Structure Analysis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Fixed vs Variable Costs · Unit Economics · Break-Even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BUS-004  ·  Version 1.1 · Final  ·  20 Febbraio 2026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Formula scalabilità: Costi Fissi Alti + Costi Variabili Bassi = Alta scalabilità marginale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Costi Fissi — Anno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Voce di Costo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Importo/Anno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Frequenza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Founder &amp; CEO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Mensile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Full-time, equity significativa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CTO &amp; Co-Founder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Mensile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Senior, blockchain expertise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Mensile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Mid-senior, da M1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Frontend Developer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Mensile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Web3 UI, da M1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Operations Manager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€38.000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Mensile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KYC + venditori, da M2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Marketing &amp; Community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Mensile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Community + social, da M3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Infrastruttura Kaspa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Nodi validator, API Kaspa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Cloud Hosting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€3.600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AWS/GCP tier base + CDN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Legal Setup (una tantum)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Una tantum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T&amp;C, privacy, regulatory opinion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Legal Retainer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Consulenza continuativa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Software &amp; Tools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€4.800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Dev tools, analytics, CRM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Office &amp; Admin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€7.200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Co-working, contabilità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Insurance &amp; Misc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Assicurazioni, buffer imprevisti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Smart Contract Audit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Una tantum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Audit pre-mainnet obbligatorio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TOTALE COSTI FISSI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€338.800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Team (6 FTE) + infra + legal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Costi Variabili — Unit Economics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Voce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Costo/Unità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Trigger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KYC Verification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€2,00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utente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Provider esterno (Onfido/Veriff)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Kaspa Transaction Fee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~€0,001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transazione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Minima grazie a GHOSTDAG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NFT Minting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~€0,005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NFT emesso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Smart contract gas Kaspa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Support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€0,50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ticket risolto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AI-first, escalation umana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Payment Processing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acquisto 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Stripe/payment gateway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Video Ad Delivery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Pass-through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video view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Ricevuto come revenue, non costo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Shipping Coordination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€15–50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oggetto consegnato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Solo per oggetti fisici vinti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Break-Even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200"/>
        <w:gridCol w:w="2300"/>
        <w:gridCol w:w="12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Scenario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Revenue/mese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Costi fissi/mese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Costi variabili/mese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Break-Even?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Alpha (M1-2)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€28.233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❌ -€26.233 (investimento)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Beta (M3-4)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€28.233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❌ -€20.733 (ancora investimento)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Mainnet 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€28.233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⚡ -€1.233 (quasi break-even)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M6 con Corporate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€28.233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✅ +€24.767 EBITDA positivo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M9 Scale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€120.000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✅ +€68.000 EBITDA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M12 Full Scale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€200.000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€38.000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✅ +€130.000 EBITDA</w:t>
            </w:r>
          </w:p>
        </w:tc>
      </w:tr>
    </w:tbl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Break-Even operativo atteso al Mese 5-6 (mainnet + prime campagne corporate). EBITDA positivo strutturale da M6.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Funding Requirements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 coprire il periodo pre-break-even (M1–M5) è necessario un seed round o capitale fondatori.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Voce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Importo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Utilizzo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Seed Round target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€300.000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Runway 12-18 mesi + Smart contract audit + Marketing launch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Burn rate medio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€25.000/mese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Team + infra + legal durante alpha/beta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Runway con seed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12 mesi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Sufficiente per raggiungere break-even M6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Alternative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Revenue-based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Se video ads crescono rapidamente, seed può ridursi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BUS-004  ·  Version 1.1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2026-02-20T19:53:30.779Z</dcterms:created>
  <dcterms:modified xsi:type="dcterms:W3CDTF">2026-02-20T19:53:30.779Z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