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 cy="571500"/>
                    </a:xfrm>
                    <a:prstGeom prst="rect">
                      <a:avLst/>
                    </a:prstGeom>
                  </pic:spPr>
                </pic:pic>
              </a:graphicData>
            </a:graphic>
          </wp:inline>
        </w:drawing>
      </w:r>
    </w:p>
    <w:p>
      <w:pPr>
        <w:spacing w:after="80"/>
        <w:jc w:val="center"/>
      </w:pPr>
      <w:r>
        <w:rPr>
          <w:rFonts w:ascii="Arial" w:cs="Arial" w:eastAsia="Arial" w:hAnsi="Arial"/>
          <w:b/>
          <w:bCs/>
          <w:i w:val="false"/>
          <w:iCs w:val="false"/>
          <w:color w:val="0A0A0A"/>
          <w:sz w:val="52"/>
          <w:szCs w:val="52"/>
        </w:rPr>
        <w:t xml:space="preserve">AIROOBI</w:t>
      </w:r>
    </w:p>
    <w:p>
      <w:pPr>
        <w:spacing w:after="120"/>
        <w:jc w:val="center"/>
      </w:pPr>
      <w:r>
        <w:rPr>
          <w:rFonts w:ascii="Arial" w:cs="Arial" w:eastAsia="Arial" w:hAnsi="Arial"/>
          <w:b/>
          <w:bCs/>
          <w:i w:val="false"/>
          <w:iCs w:val="false"/>
          <w:color w:val="0A0A0A"/>
          <w:sz w:val="32"/>
          <w:szCs w:val="32"/>
        </w:rPr>
        <w:t xml:space="preserve">Business Foundations</w:t>
      </w:r>
    </w:p>
    <w:p>
      <w:pPr>
        <w:pBdr>
          <w:bottom w:val="single" w:color="EDEDE9" w:sz="6" w:space="4"/>
        </w:pBdr>
        <w:spacing w:after="240"/>
        <w:jc w:val="center"/>
      </w:pPr>
      <w:r>
        <w:rPr>
          <w:rFonts w:ascii="Arial" w:cs="Arial" w:eastAsia="Arial" w:hAnsi="Arial"/>
          <w:b w:val="false"/>
          <w:bCs w:val="false"/>
          <w:i w:val="false"/>
          <w:iCs w:val="false"/>
          <w:color w:val="6B6B63"/>
          <w:sz w:val="22"/>
          <w:szCs w:val="22"/>
        </w:rPr>
        <w:t xml:space="preserve">Vision · Mission · Valori · Modello di Business</w:t>
      </w:r>
    </w:p>
    <w:p>
      <w:pPr>
        <w:spacing w:after="480"/>
        <w:jc w:val="center"/>
      </w:pPr>
      <w:r>
        <w:rPr>
          <w:rFonts w:ascii="Arial" w:cs="Arial" w:eastAsia="Arial" w:hAnsi="Arial"/>
          <w:b w:val="false"/>
          <w:bCs w:val="false"/>
          <w:i w:val="false"/>
          <w:iCs w:val="false"/>
          <w:color w:val="A5A59E"/>
          <w:sz w:val="18"/>
          <w:szCs w:val="18"/>
        </w:rPr>
        <w:t xml:space="preserve">BUS-001  ·  Version 2.0 · Final  ·  20 Febbraio 2026</w:t>
      </w:r>
    </w:p>
    <w:p>
      <w:pPr>
        <w:pStyle w:val="Heading1"/>
        <w:pBdr>
          <w:bottom w:val="single" w:color="EDEDE9" w:sz="6" w:space="2"/>
        </w:pBdr>
        <w:spacing w:before="360" w:after="160"/>
      </w:pPr>
      <w:r>
        <w:rPr>
          <w:rFonts w:ascii="Arial" w:cs="Arial" w:eastAsia="Arial" w:hAnsi="Arial"/>
          <w:b/>
          <w:bCs/>
          <w:i w:val="false"/>
          <w:iCs w:val="false"/>
          <w:color w:val="0A0A0A"/>
          <w:sz w:val="28"/>
          <w:szCs w:val="28"/>
        </w:rPr>
        <w:t xml:space="preserve">1. Vision</w:t>
      </w:r>
    </w:p>
    <w:p>
      <w:pPr>
        <w:pBdr>
          <w:left w:val="single" w:color="0A0A0A" w:sz="16" w:space="4"/>
        </w:pBdr>
        <w:spacing w:before="120" w:after="120"/>
        <w:ind w:left="360"/>
      </w:pPr>
      <w:r>
        <w:rPr>
          <w:rFonts w:ascii="Arial" w:cs="Arial" w:eastAsia="Arial" w:hAnsi="Arial"/>
          <w:b/>
          <w:bCs/>
          <w:i w:val="false"/>
          <w:iCs w:val="false"/>
          <w:color w:val="3C3C36"/>
          <w:sz w:val="21"/>
          <w:szCs w:val="21"/>
        </w:rPr>
        <w:t xml:space="preserve">"Rendere accessibile a chiunque, almeno una volta nella vita, l'opportunità di ottenere qualcosa che normalmente sarebbe irraggiungibile."</w:t>
      </w:r>
    </w:p>
    <w:p>
      <w:pPr>
        <w:spacing w:before="60" w:after="140"/>
        <w:jc w:val="both"/>
      </w:pPr>
      <w:r>
        <w:rPr>
          <w:rFonts w:ascii="Arial" w:cs="Arial" w:eastAsia="Arial" w:hAnsi="Arial"/>
          <w:b w:val="false"/>
          <w:bCs w:val="false"/>
          <w:i w:val="false"/>
          <w:iCs w:val="false"/>
          <w:color w:val="1A1A1A"/>
          <w:sz w:val="21"/>
          <w:szCs w:val="21"/>
        </w:rPr>
        <w:t xml:space="preserve">AIROOBI nasce da una constatazione semplice e universale: l'accesso alle opportunità non è equamente distribuito. Una persona istruita, con un reddito dignitoso, può faticare per anni prima di potersi permettere un oggetto che cambi la qualità della propria vita. AIROOBI non si propone di redistribuire la ricchezza — si propone di redistribuire l'opportunità.</w:t>
      </w:r>
    </w:p>
    <w:p>
      <w:pPr>
        <w:spacing w:before="60" w:after="140"/>
        <w:jc w:val="both"/>
      </w:pPr>
      <w:r>
        <w:rPr>
          <w:rFonts w:ascii="Arial" w:cs="Arial" w:eastAsia="Arial" w:hAnsi="Arial"/>
          <w:b w:val="false"/>
          <w:bCs w:val="false"/>
          <w:i w:val="false"/>
          <w:iCs w:val="false"/>
          <w:color w:val="1A1A1A"/>
          <w:sz w:val="21"/>
          <w:szCs w:val="21"/>
        </w:rPr>
        <w:t xml:space="preserve">La visione di AIROOBI guarda a un futuro in cui la tecnologia blockchain non è appannaggio di speculatori e insider, ma diventa infrastruttura di equità concreta: trasparente, verificabile, immutabile e accessibile a tutti.</w:t>
      </w:r>
    </w:p>
    <w:p>
      <w:pPr>
        <w:pStyle w:val="Heading1"/>
        <w:pBdr>
          <w:bottom w:val="single" w:color="EDEDE9" w:sz="6" w:space="2"/>
        </w:pBdr>
        <w:spacing w:before="360" w:after="160"/>
      </w:pPr>
      <w:r>
        <w:rPr>
          <w:rFonts w:ascii="Arial" w:cs="Arial" w:eastAsia="Arial" w:hAnsi="Arial"/>
          <w:b/>
          <w:bCs/>
          <w:i w:val="false"/>
          <w:iCs w:val="false"/>
          <w:color w:val="0A0A0A"/>
          <w:sz w:val="28"/>
          <w:szCs w:val="28"/>
        </w:rPr>
        <w:t xml:space="preserve">2. Mission</w:t>
      </w:r>
    </w:p>
    <w:p>
      <w:pPr>
        <w:pBdr>
          <w:left w:val="single" w:color="0A0A0A" w:sz="16" w:space="4"/>
        </w:pBdr>
        <w:spacing w:before="120" w:after="120"/>
        <w:ind w:left="360"/>
      </w:pPr>
      <w:r>
        <w:rPr>
          <w:rFonts w:ascii="Arial" w:cs="Arial" w:eastAsia="Arial" w:hAnsi="Arial"/>
          <w:b/>
          <w:bCs/>
          <w:i w:val="false"/>
          <w:iCs w:val="false"/>
          <w:color w:val="3C3C36"/>
          <w:sz w:val="21"/>
          <w:szCs w:val="21"/>
        </w:rPr>
        <w:t xml:space="preserve">"Costruire la prima piattaforma fair-airdrop al mondo per oggetti fisici reali, su blockchain Kaspa, eliminando le barriere economiche tra le persone e i beni di valore."</w:t>
      </w:r>
    </w:p>
    <w:p>
      <w:pPr>
        <w:spacing w:before="60" w:after="140"/>
        <w:jc w:val="both"/>
      </w:pPr>
      <w:r>
        <w:rPr>
          <w:rFonts w:ascii="Arial" w:cs="Arial" w:eastAsia="Arial" w:hAnsi="Arial"/>
          <w:b w:val="false"/>
          <w:bCs w:val="false"/>
          <w:i w:val="false"/>
          <w:iCs w:val="false"/>
          <w:color w:val="1A1A1A"/>
          <w:sz w:val="21"/>
          <w:szCs w:val="21"/>
        </w:rPr>
        <w:t xml:space="preserve">AIROOBI realizza la propria mission attraverso un meccanismo innovativo che trasferisce nel mondo degli oggetti fisici la pratica dell'airdrop. La piattaforma consente a chiunque di mettere in palio un oggetto di valore e a qualsiasi utente verificato di partecipare — con una spesa minima e con la garanzia che nessuna partecipazione rimanga senza ricompensa.</w:t>
      </w:r>
    </w:p>
    <w:p>
      <w:pPr>
        <w:pStyle w:val="Heading1"/>
        <w:pBdr>
          <w:bottom w:val="single" w:color="EDEDE9" w:sz="6" w:space="2"/>
        </w:pBdr>
        <w:spacing w:before="360" w:after="160"/>
      </w:pPr>
      <w:r>
        <w:rPr>
          <w:rFonts w:ascii="Arial" w:cs="Arial" w:eastAsia="Arial" w:hAnsi="Arial"/>
          <w:b/>
          <w:bCs/>
          <w:i w:val="false"/>
          <w:iCs w:val="false"/>
          <w:color w:val="0A0A0A"/>
          <w:sz w:val="28"/>
          <w:szCs w:val="28"/>
        </w:rPr>
        <w:t xml:space="preserve">3. Valori Fondanti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Valore</w:t>
            </w:r>
          </w:p>
        </w:tc>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Principio</w:t>
            </w:r>
          </w:p>
        </w:tc>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Applicazione Pratica</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 FAIRNESS</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Stesse identiche possibilità per ogni utente verificato, senza eccezioni</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KYC obbligatorio, algoritmo trasparente, zero vantaggi per early adopter</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 TRASPARENZA</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Ogni transazione, regola e decisione è tracciata e verificabile on-chain</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Smart contract Kaspa immutabili, dashboard Treasury pubblica</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 ACCESSIBILITÀ</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Bassa barriera d'ingresso. Chiunque può partecipare con una cifra minima</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1 AICO = €0,10. Blocchi da €0,50 a €2,50. Nessun abbonamento</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 RESPONSABILITÀ</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1% di ogni airdrop va in Charity Treasury. Il profitto non è l'unico fine</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Charity DAO, selezione cause condivisa con la community</w:t>
            </w:r>
          </w:p>
        </w:tc>
      </w:tr>
    </w:tbl>
    <w:p>
      <w:pPr>
        <w:spacing w:before="0" w:after="200"/>
      </w:pPr>
      <w:r>
        <w:rPr>
          <w:rFonts w:ascii="Arial" w:cs="Arial" w:eastAsia="Arial" w:hAnsi="Arial"/>
          <w:b w:val="false"/>
          <w:bCs w:val="false"/>
          <w:i w:val="false"/>
          <w:iCs w:val="false"/>
          <w:color w:val="0A0A0A"/>
          <w:sz w:val="22"/>
          <w:szCs w:val="22"/>
        </w:rPr>
        <w:t xml:space="preserve"/>
      </w:r>
    </w:p>
    <w:p>
      <w:pPr>
        <w:pStyle w:val="Heading1"/>
        <w:pBdr>
          <w:bottom w:val="single" w:color="EDEDE9" w:sz="6" w:space="2"/>
        </w:pBdr>
        <w:spacing w:before="360" w:after="160"/>
      </w:pPr>
      <w:r>
        <w:rPr>
          <w:rFonts w:ascii="Arial" w:cs="Arial" w:eastAsia="Arial" w:hAnsi="Arial"/>
          <w:b/>
          <w:bCs/>
          <w:i w:val="false"/>
          <w:iCs w:val="false"/>
          <w:color w:val="0A0A0A"/>
          <w:sz w:val="28"/>
          <w:szCs w:val="28"/>
        </w:rPr>
        <w:t xml:space="preserve">4. Il Meccanismo AIROOBI</w:t>
      </w:r>
    </w:p>
    <w:p>
      <w:pPr>
        <w:pStyle w:val="Heading2"/>
        <w:spacing w:before="280" w:after="120"/>
      </w:pPr>
      <w:r>
        <w:rPr>
          <w:rFonts w:ascii="Arial" w:cs="Arial" w:eastAsia="Arial" w:hAnsi="Arial"/>
          <w:b/>
          <w:bCs/>
          <w:i w:val="false"/>
          <w:iCs w:val="false"/>
          <w:color w:val="1A1A1A"/>
          <w:sz w:val="24"/>
          <w:szCs w:val="24"/>
        </w:rPr>
        <w:t xml:space="preserve">4.1 Attori della Piattaforma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tblHeader/>
        </w:trPr>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Attore</w:t>
            </w:r>
          </w:p>
        </w:tc>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Ruolo</w:t>
            </w:r>
          </w:p>
        </w:tc>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Motivazione</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Utente Partecipante</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Acquista AICO, compra blocchi, accumula NFT REWARD</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Opportunità di vincere oggetti di valore. Zero rischio di perdita secca</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Venditore P2P</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Mette in palio oggetti propri tramite AIROOBI</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Liquidità rapida a prezzo di mercato garantito dalla community</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Azienda (Business)</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Crea campagne airdrop marketing su AIROOBI</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Reach su utenti KYC-verified, ROI tracciato on-chain, brand association</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AIROOBI</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Opera la piattaforma, valuta oggetti, garantisce fairness</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Fee (1,5% su airdrop, 15% su campagne Business)</w:t>
            </w:r>
          </w:p>
        </w:tc>
      </w:tr>
    </w:tbl>
    <w:p>
      <w:pPr>
        <w:spacing w:before="0" w:after="200"/>
      </w:pPr>
      <w:r>
        <w:rPr>
          <w:rFonts w:ascii="Arial" w:cs="Arial" w:eastAsia="Arial" w:hAnsi="Arial"/>
          <w:b w:val="false"/>
          <w:bCs w:val="false"/>
          <w:i w:val="false"/>
          <w:iCs w:val="false"/>
          <w:color w:val="0A0A0A"/>
          <w:sz w:val="22"/>
          <w:szCs w:val="22"/>
        </w:rPr>
        <w:t xml:space="preserve"/>
      </w:r>
    </w:p>
    <w:p>
      <w:pPr>
        <w:pStyle w:val="Heading2"/>
        <w:spacing w:before="280" w:after="120"/>
      </w:pPr>
      <w:r>
        <w:rPr>
          <w:rFonts w:ascii="Arial" w:cs="Arial" w:eastAsia="Arial" w:hAnsi="Arial"/>
          <w:b/>
          <w:bCs/>
          <w:i w:val="false"/>
          <w:iCs w:val="false"/>
          <w:color w:val="1A1A1A"/>
          <w:sz w:val="24"/>
          <w:szCs w:val="24"/>
        </w:rPr>
        <w:t xml:space="preserve">4.2 Il Flusso Core — AICO → Blocchi → NFT REWARD</w:t>
      </w:r>
    </w:p>
    <w:p>
      <w:pPr>
        <w:spacing w:before="60" w:after="140"/>
        <w:jc w:val="both"/>
      </w:pPr>
      <w:r>
        <w:rPr>
          <w:rFonts w:ascii="Arial" w:cs="Arial" w:eastAsia="Arial" w:hAnsi="Arial"/>
          <w:b/>
          <w:bCs/>
          <w:i w:val="false"/>
          <w:iCs w:val="false"/>
          <w:color w:val="0A0A0A"/>
          <w:sz w:val="21"/>
          <w:szCs w:val="21"/>
        </w:rPr>
        <w:t xml:space="preserve">Passaggio 1 — Acquisto AICO: </w:t>
      </w:r>
      <w:r>
        <w:rPr>
          <w:rFonts w:ascii="Arial" w:cs="Arial" w:eastAsia="Arial" w:hAnsi="Arial"/>
          <w:b w:val="false"/>
          <w:bCs w:val="false"/>
          <w:i w:val="false"/>
          <w:iCs w:val="false"/>
          <w:color w:val="0A0A0A"/>
          <w:sz w:val="21"/>
          <w:szCs w:val="21"/>
        </w:rPr>
        <w:t xml:space="preserve">L'utente acquista AICO, la valuta interna di AIROOBI. </w:t>
      </w:r>
      <w:r>
        <w:rPr>
          <w:rFonts w:ascii="Arial" w:cs="Arial" w:eastAsia="Arial" w:hAnsi="Arial"/>
          <w:b/>
          <w:bCs/>
          <w:i w:val="false"/>
          <w:iCs w:val="false"/>
          <w:color w:val="0A0A0A"/>
          <w:sz w:val="21"/>
          <w:szCs w:val="21"/>
        </w:rPr>
        <w:t xml:space="preserve">1 AICO = €0,10</w:t>
      </w:r>
      <w:r>
        <w:rPr>
          <w:rFonts w:ascii="Arial" w:cs="Arial" w:eastAsia="Arial" w:hAnsi="Arial"/>
          <w:b w:val="false"/>
          <w:bCs w:val="false"/>
          <w:i w:val="false"/>
          <w:iCs w:val="false"/>
          <w:color w:val="0A0A0A"/>
          <w:sz w:val="21"/>
          <w:szCs w:val="21"/>
        </w:rPr>
        <w:t xml:space="preserve"> (tasso fisso). AICO non scadono e si usano su qualsiasi airdrop.</w:t>
      </w:r>
    </w:p>
    <w:p>
      <w:pPr>
        <w:spacing w:before="60" w:after="140"/>
        <w:jc w:val="both"/>
      </w:pPr>
      <w:r>
        <w:rPr>
          <w:rFonts w:ascii="Arial" w:cs="Arial" w:eastAsia="Arial" w:hAnsi="Arial"/>
          <w:b/>
          <w:bCs/>
          <w:i w:val="false"/>
          <w:iCs w:val="false"/>
          <w:color w:val="0A0A0A"/>
          <w:sz w:val="21"/>
          <w:szCs w:val="21"/>
        </w:rPr>
        <w:t xml:space="preserve">Passaggio 2 — Acquisto Blocchi: </w:t>
      </w:r>
      <w:r>
        <w:rPr>
          <w:rFonts w:ascii="Arial" w:cs="Arial" w:eastAsia="Arial" w:hAnsi="Arial"/>
          <w:b w:val="false"/>
          <w:bCs w:val="false"/>
          <w:i w:val="false"/>
          <w:iCs w:val="false"/>
          <w:color w:val="0A0A0A"/>
          <w:sz w:val="21"/>
          <w:szCs w:val="21"/>
        </w:rPr>
        <w:t xml:space="preserve">Ogni airdrop ha un prezzo blocco variabile in AICO (es. 5 AICO, 10 AICO, 25 AICO a seconda del valore dell'oggetto). L'utente acquista N blocchi usando i propri AICO.</w:t>
      </w:r>
    </w:p>
    <w:p>
      <w:pPr>
        <w:spacing w:before="60" w:after="140"/>
        <w:jc w:val="both"/>
      </w:pPr>
      <w:r>
        <w:rPr>
          <w:rFonts w:ascii="Arial" w:cs="Arial" w:eastAsia="Arial" w:hAnsi="Arial"/>
          <w:b/>
          <w:bCs/>
          <w:i w:val="false"/>
          <w:iCs w:val="false"/>
          <w:color w:val="0A0A0A"/>
          <w:sz w:val="21"/>
          <w:szCs w:val="21"/>
        </w:rPr>
        <w:t xml:space="preserve">Passaggio 3 — NFT REWARD Automatico: </w:t>
      </w:r>
      <w:r>
        <w:rPr>
          <w:rFonts w:ascii="Arial" w:cs="Arial" w:eastAsia="Arial" w:hAnsi="Arial"/>
          <w:b w:val="false"/>
          <w:bCs w:val="false"/>
          <w:i w:val="false"/>
          <w:iCs w:val="false"/>
          <w:color w:val="0A0A0A"/>
          <w:sz w:val="21"/>
          <w:szCs w:val="21"/>
        </w:rPr>
        <w:t xml:space="preserve">Ogni blocco acquistato assegna automaticamente </w:t>
      </w:r>
      <w:r>
        <w:rPr>
          <w:rFonts w:ascii="Arial" w:cs="Arial" w:eastAsia="Arial" w:hAnsi="Arial"/>
          <w:b/>
          <w:bCs/>
          <w:i w:val="false"/>
          <w:iCs w:val="false"/>
          <w:color w:val="0A0A0A"/>
          <w:sz w:val="21"/>
          <w:szCs w:val="21"/>
        </w:rPr>
        <w:t xml:space="preserve">1 NFT REWARD</w:t>
      </w:r>
      <w:r>
        <w:rPr>
          <w:rFonts w:ascii="Arial" w:cs="Arial" w:eastAsia="Arial" w:hAnsi="Arial"/>
          <w:b w:val="false"/>
          <w:bCs w:val="false"/>
          <w:i w:val="false"/>
          <w:iCs w:val="false"/>
          <w:color w:val="0A0A0A"/>
          <w:sz w:val="21"/>
          <w:szCs w:val="21"/>
        </w:rPr>
        <w:t xml:space="preserve"> con valore Treasury-backed. Il vincitore è chi accumula più blocchi. Chi non vince mantiene tutti i propri NFT con valore garantito al 95% PEG.</w:t>
      </w:r>
    </w:p>
    <w:p>
      <w:pPr>
        <w:pBdr>
          <w:left w:val="single" w:color="1D4ED8" w:sz="16" w:space="4"/>
        </w:pBdr>
        <w:spacing w:before="120" w:after="120"/>
        <w:ind w:left="360"/>
      </w:pPr>
      <w:r>
        <w:rPr>
          <w:rFonts w:ascii="Arial" w:cs="Arial" w:eastAsia="Arial" w:hAnsi="Arial"/>
          <w:b/>
          <w:bCs/>
          <w:i w:val="false"/>
          <w:iCs w:val="false"/>
          <w:color w:val="3C3C36"/>
          <w:sz w:val="21"/>
          <w:szCs w:val="21"/>
        </w:rPr>
        <w:t xml:space="preserve">Non è gioco d'azzardo. L'utente acquista asset digitali (NFT) con valore economico reale. La chance di vincere l'oggetto fisico è un bonus, non l'unica posta in gioco.</w:t>
      </w:r>
    </w:p>
    <w:p>
      <w:pPr>
        <w:pStyle w:val="Heading1"/>
        <w:pBdr>
          <w:bottom w:val="single" w:color="EDEDE9" w:sz="6" w:space="2"/>
        </w:pBdr>
        <w:spacing w:before="360" w:after="160"/>
      </w:pPr>
      <w:r>
        <w:rPr>
          <w:rFonts w:ascii="Arial" w:cs="Arial" w:eastAsia="Arial" w:hAnsi="Arial"/>
          <w:b/>
          <w:bCs/>
          <w:i w:val="false"/>
          <w:iCs w:val="false"/>
          <w:color w:val="0A0A0A"/>
          <w:sz w:val="28"/>
          <w:szCs w:val="28"/>
        </w:rPr>
        <w:t xml:space="preserve">5. Modelli di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438"/>
      </w:tblGrid>
      <w:tr>
        <w:trPr>
          <w:tblHeader/>
        </w:trPr>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Modello</w:t>
            </w:r>
          </w:p>
        </w:tc>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Meccanica</w:t>
            </w:r>
          </w:p>
        </w:tc>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Fee AIROOBI</w:t>
            </w:r>
          </w:p>
        </w:tc>
        <w:tc>
          <w:tcPr>
            <w:tcBorders>
              <w:top w:val="single" w:color="EDEDE9" w:sz="4"/>
              <w:left w:val="nil" w:color="FFFFFF" w:sz="0"/>
              <w:bottom w:val="single" w:color="EDEDE9" w:sz="4"/>
              <w:right w:val="nil" w:color="FFFFFF" w:sz="0"/>
            </w:tcBorders>
            <w:shd w:fill="0A0A0A" w:val="clear"/>
            <w:tcMar>
              <w:top w:type="dxa" w:w="80"/>
              <w:left w:type="dxa" w:w="160"/>
              <w:bottom w:type="dxa" w:w="80"/>
              <w:right w:type="dxa" w:w="160"/>
            </w:tcMar>
            <w:vAlign w:val="center"/>
          </w:tcPr>
          <w:p>
            <w:pPr>
              <w:spacing w:before="0" w:after="0"/>
            </w:pPr>
            <w:r>
              <w:rPr>
                <w:rFonts w:ascii="Arial" w:cs="Arial" w:eastAsia="Arial" w:hAnsi="Arial"/>
                <w:b/>
                <w:bCs/>
                <w:i w:val="false"/>
                <w:iCs w:val="false"/>
                <w:color w:val="FAFAFA"/>
                <w:sz w:val="19"/>
                <w:szCs w:val="19"/>
              </w:rPr>
              <w:t xml:space="preserve">Revenue Driver</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P2P Airdrop</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Privati vendono oggetti &gt;€500. Community compra blocchi</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1,5% (0,5% val. + 1% piatt.)</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Volume airdrop × valore oggetto</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Corporate / Business</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Brand finanziano campagne. Utenti completano azioni</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15% del budget campagna</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Numero campagne × budget medio</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Charity</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1% di ogni airdrop → Charity Treasury</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N/A (pass-through)</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Social impact, PR, community</w:t>
            </w:r>
          </w:p>
        </w:tc>
      </w:tr>
      <w:tr>
        <w:trPr>
          <w:tblHeader w:val="false"/>
        </w:trPr>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1A1A1A"/>
                <w:sz w:val="19"/>
                <w:szCs w:val="19"/>
              </w:rPr>
              <w:t xml:space="preserve">Video Advertising</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Video sponsor obbligatori per ogni azione chiave</w:t>
            </w:r>
          </w:p>
        </w:tc>
        <w:tc>
          <w:tcPr>
            <w:tcBorders>
              <w:top w:val="single" w:color="EDEDE9" w:sz="4"/>
              <w:left w:val="nil" w:color="FFFFFF" w:sz="0"/>
              <w:bottom w:val="single" w:color="EDEDE9" w:sz="4"/>
              <w:right w:val="nil" w:color="FFFFFF" w:sz="0"/>
            </w:tcBorders>
            <w:shd w:fill="FAFAFA"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CPM revenue (€10-15)</w:t>
            </w:r>
          </w:p>
        </w:tc>
        <w:tc>
          <w:tcPr>
            <w:tcBorders>
              <w:top w:val="single" w:color="EDEDE9" w:sz="4"/>
              <w:left w:val="nil" w:color="FFFFFF" w:sz="0"/>
              <w:bottom w:val="single" w:color="EDEDE9" w:sz="4"/>
              <w:right w:val="nil" w:color="FFFFFF" w:sz="0"/>
            </w:tcBorders>
            <w:shd w:fill="F7F7F5" w:val="clear"/>
            <w:tcMar>
              <w:top w:type="dxa" w:w="80"/>
              <w:left w:type="dxa" w:w="160"/>
              <w:bottom w:type="dxa" w:w="80"/>
              <w:right w:type="dxa" w:w="160"/>
            </w:tcMar>
            <w:vAlign w:val="center"/>
          </w:tcPr>
          <w:p>
            <w:pPr>
              <w:spacing w:before="0" w:after="0"/>
            </w:pPr>
            <w:r>
              <w:rPr>
                <w:rFonts w:ascii="Arial" w:cs="Arial" w:eastAsia="Arial" w:hAnsi="Arial"/>
                <w:b w:val="false"/>
                <w:bCs w:val="false"/>
                <w:i w:val="false"/>
                <w:iCs w:val="false"/>
                <w:color w:val="3C3C36"/>
                <w:sz w:val="19"/>
                <w:szCs w:val="19"/>
              </w:rPr>
              <w:t xml:space="preserve">Azioni users × CPM rate</w:t>
            </w:r>
          </w:p>
        </w:tc>
      </w:tr>
    </w:tbl>
    <w:p>
      <w:pPr>
        <w:spacing w:before="0" w:after="200"/>
      </w:pPr>
      <w:r>
        <w:rPr>
          <w:rFonts w:ascii="Arial" w:cs="Arial" w:eastAsia="Arial" w:hAnsi="Arial"/>
          <w:b w:val="false"/>
          <w:bCs w:val="false"/>
          <w:i w:val="false"/>
          <w:iCs w:val="false"/>
          <w:color w:val="0A0A0A"/>
          <w:sz w:val="22"/>
          <w:szCs w:val="22"/>
        </w:rPr>
        <w:t xml:space="preserve"/>
      </w:r>
    </w:p>
    <w:p>
      <w:pPr>
        <w:pStyle w:val="Heading1"/>
        <w:pBdr>
          <w:bottom w:val="single" w:color="EDEDE9" w:sz="6" w:space="2"/>
        </w:pBdr>
        <w:spacing w:before="360" w:after="160"/>
      </w:pPr>
      <w:r>
        <w:rPr>
          <w:rFonts w:ascii="Arial" w:cs="Arial" w:eastAsia="Arial" w:hAnsi="Arial"/>
          <w:b/>
          <w:bCs/>
          <w:i w:val="false"/>
          <w:iCs w:val="false"/>
          <w:color w:val="0A0A0A"/>
          <w:sz w:val="28"/>
          <w:szCs w:val="28"/>
        </w:rPr>
        <w:t xml:space="preserve">6. Perché Kaspa Blockchain</w:t>
      </w:r>
    </w:p>
    <w:p>
      <w:pPr>
        <w:pStyle w:val="ListParagraph"/>
        <w:numPr>
          <w:ilvl w:val="0"/>
          <w:numId w:val="2"/>
        </w:numPr>
        <w:spacing w:before="40" w:after="80"/>
      </w:pPr>
      <w:r>
        <w:rPr>
          <w:rFonts w:ascii="Arial" w:cs="Arial" w:eastAsia="Arial" w:hAnsi="Arial"/>
          <w:b w:val="false"/>
          <w:bCs w:val="false"/>
          <w:i w:val="false"/>
          <w:iCs w:val="false"/>
          <w:color w:val="1A1A1A"/>
          <w:sz w:val="21"/>
          <w:szCs w:val="21"/>
        </w:rPr>
        <w:t xml:space="preserve">BlockDAG (GHOSTDAG): conferme in 1-2 secondi, throughput 100+ TPS — ideale per acquisti frecuenti di blocchi</w:t>
      </w:r>
    </w:p>
    <w:p>
      <w:pPr>
        <w:pStyle w:val="ListParagraph"/>
        <w:numPr>
          <w:ilvl w:val="0"/>
          <w:numId w:val="2"/>
        </w:numPr>
        <w:spacing w:before="40" w:after="80"/>
      </w:pPr>
      <w:r>
        <w:rPr>
          <w:rFonts w:ascii="Arial" w:cs="Arial" w:eastAsia="Arial" w:hAnsi="Arial"/>
          <w:b w:val="false"/>
          <w:bCs w:val="false"/>
          <w:i w:val="false"/>
          <w:iCs w:val="false"/>
          <w:color w:val="1A1A1A"/>
          <w:sz w:val="21"/>
          <w:szCs w:val="21"/>
        </w:rPr>
        <w:t xml:space="preserve">Proof of Work puro: sicurezza Bitcoin-grade senza dipendenza da validatori centralizzati</w:t>
      </w:r>
    </w:p>
    <w:p>
      <w:pPr>
        <w:pStyle w:val="ListParagraph"/>
        <w:numPr>
          <w:ilvl w:val="0"/>
          <w:numId w:val="2"/>
        </w:numPr>
        <w:spacing w:before="40" w:after="80"/>
      </w:pPr>
      <w:r>
        <w:rPr>
          <w:rFonts w:ascii="Arial" w:cs="Arial" w:eastAsia="Arial" w:hAnsi="Arial"/>
          <w:b w:val="false"/>
          <w:bCs w:val="false"/>
          <w:i w:val="false"/>
          <w:iCs w:val="false"/>
          <w:color w:val="1A1A1A"/>
          <w:sz w:val="21"/>
          <w:szCs w:val="21"/>
        </w:rPr>
        <w:t xml:space="preserve">Fair Launch: nessun premine, nessun VC advantage — allineato con i valori di fairness di AIROOBI</w:t>
      </w:r>
    </w:p>
    <w:p>
      <w:pPr>
        <w:pStyle w:val="ListParagraph"/>
        <w:numPr>
          <w:ilvl w:val="0"/>
          <w:numId w:val="2"/>
        </w:numPr>
        <w:spacing w:before="40" w:after="80"/>
      </w:pPr>
      <w:r>
        <w:rPr>
          <w:rFonts w:ascii="Arial" w:cs="Arial" w:eastAsia="Arial" w:hAnsi="Arial"/>
          <w:b w:val="false"/>
          <w:bCs w:val="false"/>
          <w:i w:val="false"/>
          <w:iCs w:val="false"/>
          <w:color w:val="1A1A1A"/>
          <w:sz w:val="21"/>
          <w:szCs w:val="21"/>
        </w:rPr>
        <w:t xml:space="preserve">Smart contracts KRC-20: standard NFT nativo per AICO e NFT REWARD</w:t>
      </w:r>
    </w:p>
    <w:p>
      <w:pPr>
        <w:pStyle w:val="ListParagraph"/>
        <w:numPr>
          <w:ilvl w:val="0"/>
          <w:numId w:val="2"/>
        </w:numPr>
        <w:spacing w:before="40" w:after="80"/>
      </w:pPr>
      <w:r>
        <w:rPr>
          <w:rFonts w:ascii="Arial" w:cs="Arial" w:eastAsia="Arial" w:hAnsi="Arial"/>
          <w:b w:val="false"/>
          <w:bCs w:val="false"/>
          <w:i w:val="false"/>
          <w:iCs w:val="false"/>
          <w:color w:val="1A1A1A"/>
          <w:sz w:val="21"/>
          <w:szCs w:val="21"/>
        </w:rPr>
        <w:t xml:space="preserve">Community forte e in crescita: ecosistema miners attivo, exchange integration in espansione</w:t>
      </w:r>
    </w:p>
    <w:p>
      <w:pPr>
        <w:spacing w:before="0" w:after="400"/>
      </w:pPr>
      <w:r>
        <w:rPr>
          <w:rFonts w:ascii="Arial" w:cs="Arial" w:eastAsia="Arial" w:hAnsi="Arial"/>
          <w:b w:val="false"/>
          <w:bCs w:val="false"/>
          <w:i w:val="false"/>
          <w:iCs w:val="false"/>
          <w:color w:val="0A0A0A"/>
          <w:sz w:val="22"/>
          <w:szCs w:val="22"/>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DE9" w:sz="4" w:space="4"/>
      </w:pBdr>
      <w:tabs>
        <w:tab w:val="right" w:pos="9638"/>
      </w:tabs>
      <w:spacing w:before="80"/>
    </w:pPr>
    <w:r>
      <w:rPr>
        <w:rFonts w:ascii="Arial" w:cs="Arial" w:eastAsia="Arial" w:hAnsi="Arial"/>
        <w:b w:val="false"/>
        <w:bCs w:val="false"/>
        <w:i w:val="false"/>
        <w:iCs w:val="false"/>
        <w:color w:val="A5A59E"/>
        <w:sz w:val="16"/>
        <w:szCs w:val="16"/>
      </w:rPr>
      <w:t xml:space="preserve">BUS-001  ·  Version 2.0 · Final  ·  AIROOBI Confidential  ·  2026</w:t>
    </w:r>
    <w:r>
      <w:rPr>
        <w:rFonts w:ascii="Arial" w:cs="Arial" w:eastAsia="Arial" w:hAnsi="Arial"/>
        <w:color w:val="A5A59E"/>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DE9" w:sz="6" w:space="1"/>
      </w:pBdr>
      <w:spacing w:after="80"/>
    </w:pPr>
    <w:r>
      <w:drawing>
        <wp:inline distT="0" distB="0" distL="0" distR="0">
          <wp:extent cx="1524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800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sz w:val="21"/>
        <w:szCs w:val="21"/>
      </w:rPr>
    </w:lvl>
    <w:lvl w:ilvl="1" w15:tentative="1">
      <w:start w:val="1"/>
      <w:numFmt w:val="bullet"/>
      <w:lvlText w:val="–"/>
      <w:lvlJc w:val="left"/>
      <w:pPr>
        <w:ind w:left="90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0A0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32e322e89f417f918abfbcc0f3572b7f0d2a7e9.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b466c38bad2f40566d49627552f63a8fbdca87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2026-02-20T19:53:28.446Z</dcterms:created>
  <dcterms:modified xsi:type="dcterms:W3CDTF">2026-02-20T19:53:28.447Z</dcterms:modified>
</cp:coreProperties>
</file>

<file path=docProps/custom.xml><?xml version="1.0" encoding="utf-8"?>
<Properties xmlns="http://schemas.openxmlformats.org/officeDocument/2006/custom-properties" xmlns:vt="http://schemas.openxmlformats.org/officeDocument/2006/docPropsVTypes"/>
</file>