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52"/>
          <w:szCs w:val="52"/>
        </w:rPr>
        <w:t xml:space="preserve">AIROOBI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2"/>
          <w:szCs w:val="32"/>
        </w:rPr>
        <w:t xml:space="preserve">Year 1 Financial Forecast</w:t>
      </w:r>
    </w:p>
    <w:p>
      <w:pPr>
        <w:pBdr>
          <w:bottom w:val="single" w:color="EDEDE9" w:sz="6" w:space="4"/>
        </w:pBdr>
        <w:spacing w:after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3"/>
          <w:sz w:val="22"/>
          <w:szCs w:val="22"/>
        </w:rPr>
        <w:t xml:space="preserve">Simulazione realistica 12 mesi · Revenue · Treasury · NFT</w:t>
      </w:r>
    </w:p>
    <w:p>
      <w:pPr>
        <w:spacing w:after="4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5A59E"/>
          <w:sz w:val="18"/>
          <w:szCs w:val="18"/>
        </w:rPr>
        <w:t xml:space="preserve">BUS-003  ·  Version 1.2 · Final  ·  20 Febbraio 2026</w:t>
      </w:r>
    </w:p>
    <w:p>
      <w:pPr>
        <w:pBdr>
          <w:left w:val="single" w:color="0A0A0A" w:sz="16" w:space="4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3C3C36"/>
          <w:sz w:val="21"/>
          <w:szCs w:val="21"/>
        </w:rPr>
        <w:t xml:space="preserve">Revenue Anno 1: €780k | EBITDA: €350k (45% margin) | Treasury NFT: €313k | Airdrop: 250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1. Presupposti della Simulazione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1.1 Categorie &amp; Volumi Anno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000"/>
        <w:gridCol w:w="1800"/>
        <w:gridCol w:w="24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Categoria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Launch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Airdrop Anno 1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Avg Price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GMV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📱 Mobile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M5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70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€1.200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€84.000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💻 Computing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M5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50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€100.000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⌚ Luxury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M5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25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€8.000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€200.000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🎸 Strumenti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M5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€2.200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€44.000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👗 Moda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M7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40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€1.500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€60.000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🎨 Collezionismo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M7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30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€90.000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🤖 Robotica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M7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25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€50.000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🏠 Home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M7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35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€800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€28.000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295 (target 250)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€2.225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€656.000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1.2 Community Growth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000"/>
        <w:gridCol w:w="29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Milestone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Utenti Registrati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DAU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Conversione KYC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M1-2 (Alphanet)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200–500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50–100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Test phase, invitation-only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M3-4 (Betanet)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1.000–2.500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200–500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60% completano KYC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M5-6 (Mainnet)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3.000–5.000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600–1.000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50% → almeno 1 acquisto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M7-9 (Expansion)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7.000–10.000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1.400–2.000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Referral virale attivo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M10-12 (Scale)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12.000–15.000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2.400–3.000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Corporate airdrop live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2. Revenue Streams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2.1 Airdrop Fees (1,5%)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Fee totale 1,5%: 0,5% valutazione + 1% piattaforma. Base forecast su 250 airdrop.</w:t>
      </w:r>
    </w:p>
    <w:p>
      <w:pPr>
        <w:pBdr>
          <w:left w:val="single" w:color="0A0A0A" w:sz="16" w:space="4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3C3C36"/>
          <w:sz w:val="21"/>
          <w:szCs w:val="21"/>
        </w:rPr>
        <w:t xml:space="preserve">Revenue da fee airdrop (250 airdrop, avg €2.225): €8.344 da fee dirette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2.2 Video Advertising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1800"/>
        <w:gridCol w:w="18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Fase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Utenti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Video Views/mese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CPM €12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Revenue/anno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Alpha (M1-2)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200–500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500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€6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€144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Beta (M3-4)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1.000–2.500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2.500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€720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Mainnet (M5-12)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3k–15k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15.000–50.000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€180–600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~€340.000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TOTALE Anno 1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€341.000 est.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2.3 Corporate / Business Airdrop (da M6)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1500"/>
        <w:gridCol w:w="26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Mese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Campagne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Budget medio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Fee 15%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Revenue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M6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€25.000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15%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€3.750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M7–9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2–3/mese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€30.000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15%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€13.500/mese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M10–12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4–5/mese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€35.000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15%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€21.000/mese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~30 campagne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€30.000 avg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15%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€450.000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3. Breakdown Mensile KPI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1200"/>
        <w:gridCol w:w="1800"/>
        <w:gridCol w:w="1800"/>
        <w:gridCol w:w="1100"/>
        <w:gridCol w:w="14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Mese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Airdrop P2P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Corporate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Revenue Tot.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Treasury NFT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Charity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NFT Circ.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Gen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€3.250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€2.100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€150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1.800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Feb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€5.500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€3.400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€240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4.200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€8.200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€5.100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€360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7.500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€18.500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€11.200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€650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14.800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Mag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30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€26.800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€16.300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€920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24.500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Giu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40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€41.200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€25.100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€1.400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38.200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Lug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35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€36.500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€22.200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€1.250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51.000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Ago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30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€28.300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€17.200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€980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61.800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38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€39.700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€24.200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€1.380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75.600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Ott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55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€68.500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€41.800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€2.350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98.400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Nov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75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€92.300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€56.400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€3.180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130.200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Dic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120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€148.800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€90.900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€5.120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185.000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468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19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€517.550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€315.900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€17.980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185.000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p>
      <w:pPr>
        <w:pBdr>
          <w:left w:val="single" w:color="0A0A0A" w:sz="16" w:space="4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3C3C36"/>
          <w:sz w:val="21"/>
          <w:szCs w:val="21"/>
        </w:rPr>
        <w:t xml:space="preserve">I numeri di Revenue Tot. includono Video Advertising. Il target conservativo di €780k include corporate scaling da M6.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4. P&amp;L Sintetico Anno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Voce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Importo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Revenue totale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€780.000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Fee + Video Ads + Corporate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Costi fissi (team + infra)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€235.800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3 FTE + infra + legal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Costi variabili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€194.200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KYC, blockchain tx, support, marketing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EBITDA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€350.000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45% margin — scenario base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Treasury accumulata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€313.000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22% di ogni airdrop completato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Charity erogata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€17.980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1% di ogni airdrop</w:t>
            </w:r>
          </w:p>
        </w:tc>
      </w:tr>
    </w:tbl>
    <w:p>
      <w:pPr>
        <w:spacing w:before="0" w:after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DE9" w:sz="4" w:space="4"/>
      </w:pBdr>
      <w:tabs>
        <w:tab w:val="right" w:pos="9638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A5A59E"/>
        <w:sz w:val="16"/>
        <w:szCs w:val="16"/>
      </w:rPr>
      <w:t xml:space="preserve">BUS-003  ·  Version 1.2 · Final  ·  AIROOBI Confidential  ·  2026</w:t>
    </w:r>
    <w:r>
      <w:rPr>
        <w:rFonts w:ascii="Arial" w:cs="Arial" w:eastAsia="Arial" w:hAnsi="Arial"/>
        <w:color w:val="A5A59E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EDE9" w:sz="6" w:space="1"/>
      </w:pBdr>
      <w:spacing w:after="80"/>
    </w:pPr>
    <w:r>
      <w:drawing>
        <wp:inline distT="0" distB="0" distL="0" distR="0">
          <wp:extent cx="1524000" cy="800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Arial" w:cs="Arial" w:eastAsia="Arial" w:hAnsi="Arial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90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32e322e89f417f918abfbcc0f3572b7f0d2a7e9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b466c38bad2f40566d49627552f63a8fbdca87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2026-02-20T19:53:28.977Z</dcterms:created>
  <dcterms:modified xsi:type="dcterms:W3CDTF">2026-02-20T19:53:28.977Z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