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52"/>
          <w:szCs w:val="52"/>
        </w:rPr>
        <w:t xml:space="preserve">AIROOBI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2"/>
          <w:szCs w:val="32"/>
        </w:rPr>
        <w:t xml:space="preserve">Legal Framework &amp; Non-Gambling Analysis</w:t>
      </w:r>
    </w:p>
    <w:p>
      <w:pPr>
        <w:pBdr>
          <w:bottom w:val="single" w:color="EDEDE9" w:sz="6" w:space="4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3"/>
          <w:sz w:val="22"/>
          <w:szCs w:val="22"/>
        </w:rPr>
        <w:t xml:space="preserve">Distinzione Gioco d'Azzardo · Compliance · Struttura legale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5A59E"/>
          <w:sz w:val="18"/>
          <w:szCs w:val="18"/>
        </w:rPr>
        <w:t xml:space="preserve">LEGAL-001  ·  Version 1.1 · Final  ·  20 Febbraio 2026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⚠️ DISCLAIMER: Questo documento non costituisce parere legale. È necessaria consulenza da studio legale specializzato prima di operare.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1. Framework Gioco d'Azzardo — Italia &amp; EU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gioco d'azzardo in Italia è regolamentato dal TULPS (R.D. 773/1931) e successive modifiche, oltre alle direttive EU. L'Agenzia delle Dogane e dei Monopoli (ADM) è l'autorità competente. Un'attività è considerata gioco d'azzardo se soddisfa TRE criteri cumulativi: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Criterio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Descrizione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Test AIROOBI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Pagamento (Consideration)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Il partecipante paga denaro per partecipare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✓ Presente — utente acquista AICO per comprare blocchi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Alea (Chance)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Il risultato dipende principalmente dalla fortuna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⚡ MITIGATO — struttura NFT elimina perdita secca (vedi §2)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Premio (Prize)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C'è possibilità di vincere beni di valore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✓ Presente — oggetto fisico di valore</w:t>
            </w:r>
          </w:p>
        </w:tc>
      </w:tr>
    </w:tbl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TUTTI e tre i criteri sono soddisfatti → gioco d'azzardo (licenza ADM). La strategia AIROOBI si concentra sulla modifica strutturale del Criterio 1 e del Criterio 2.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2. Perché AIROOBI NON è Gioco d'Azzardo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2.1 Criterio 1 — Consideration: Acquisto di Asset, Non Biglietto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Elemento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Lotteria / Riffa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AIROOBI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Cosa si paga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Biglietto senza valore intrinseco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 blocco = 1 NFT REWARD con valore Treasury-backed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Cosa si riceve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Solo chance di vincere. Zero se non vinci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NFT REWARD sempre + chance di vincere oggetto come bonus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Natura del pagamento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Pay-per-play puro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Acquisto di asset digitale con utility reale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Rischio perdita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100% — ogni giocata è persa se non si vince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0% perdita secca — NFT mantiene valore ≥95% PEG</w:t>
            </w:r>
          </w:p>
        </w:tc>
      </w:tr>
    </w:tbl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DIFFERENZA CHIAVE: AIROOBI non vende "chance di vincere". Vende NFT REWARD (asset digitali) che includono una probabilità di vincere l'oggetto fisico come bonus aggiuntivo.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2.2 Criterio 2 — Alea: Riduzione del Rischio Strutturale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vittoria dipende dal numero di blocchi acquistati, non da estrazione casuale pura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Chi vuole aumentare le probabilità può farlo in modo prevedibile (più blocchi = più probabilità)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Non c'è un singolo "numero vincente" estratto a sorte: l'algoritmo somma contributi nel tempo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PEG al 95% elimina il "rischio perdita totale" — elemento centrale del gambling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2.3 Analogie Legali Favorevoli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Modello simile a: acquisto quote in fondi comuni (asset con rendimento + possibilità di extra-rendimento)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Modello simile a: crowdfunding con reward (contribuisci, ricevi asset, possibilità di premio)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Non assimilabile a: slot machine, roulette, scommesse (nessuna perdita totale possibile)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3. Struttura Legale Raccomandata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200"/>
        <w:gridCol w:w="29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Area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Azione richiesta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Timeline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Forma societaria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S.r.l. o S.p.A. italiana o holding EU (Malta/Estonia)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Pre-alpha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Parere legale gambling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Studio specializzato in gaming law italiano + EU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CRITICA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Immediata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Terms &amp; Conditions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T&amp;C che esplicitano natura NFT, non-gambling, PEG mechanism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Pre-alpha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Privacy / GDPR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DPO designato, privacy policy compliant, KYC data retention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Pre-alpha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KYC / AML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Procedura KYC per tutti gli utenti, soglie AML monitorate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Pre-alpha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Tax compliance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Regime fiscale NFT in Italia (cripto-attività, DL 2023)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Media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Pre-mainnet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IP Protection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Trademark "AIROOBI" + logo in IT/EU/US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Media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M1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4. KYC — Identity Verification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KYC (Know Your Customer) è obbligatorio per tutti gli utenti AIROOBI prima di poter acquistare blocchi. Questo serve tre scopi: compliance AML, fairness (un utente = una identità), protezione piattaforma.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00"/>
        <w:gridCol w:w="2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Livello KYC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Requisiti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Limite operativo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Provider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KYC Base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Email verificata, numero telefono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€50/mese in acquisti AICO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Interno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KYC Standard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Documento identità + selfie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€500/mese in acquisti AICO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Onfido / Veriff / Jumio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KYC Enhanced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Documento + prova indirizzo + video call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Illimitato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Provider tier-1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9" w:sz="4" w:space="4"/>
      </w:pBdr>
      <w:tabs>
        <w:tab w:val="right" w:pos="9638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5A59E"/>
        <w:sz w:val="16"/>
        <w:szCs w:val="16"/>
      </w:rPr>
      <w:t xml:space="preserve">LEGAL-001  ·  Version 1.1 · Final  ·  AIROOBI Confidential  ·  2026</w:t>
    </w:r>
    <w:r>
      <w:rPr>
        <w:rFonts w:ascii="Arial" w:cs="Arial" w:eastAsia="Arial" w:hAnsi="Arial"/>
        <w:color w:val="A5A59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9" w:sz="6" w:space="1"/>
      </w:pBdr>
      <w:spacing w:after="80"/>
    </w:pPr>
    <w:r>
      <w:drawing>
        <wp:inline distT="0" distB="0" distL="0" distR="0">
          <wp:extent cx="152400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32e322e89f417f918abfbcc0f3572b7f0d2a7e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466c38bad2f40566d49627552f63a8fbdca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2026-02-20T19:53:30.369Z</dcterms:created>
  <dcterms:modified xsi:type="dcterms:W3CDTF">2026-02-20T19:53:30.369Z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