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" w:cs="Calibri" w:eastAsia="Calibri" w:hAnsi="Calibri"/>
          <w:b/>
          <w:bCs/>
          <w:color w:val="B8960C"/>
          <w:spacing w:val="100"/>
          <w:sz w:val="18"/>
          <w:szCs w:val="18"/>
        </w:rPr>
        <w:t xml:space="preserve">INVESTOR PLAYBOOK  ·  PRE-SEED Q2 2026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11111"/>
          <w:sz w:val="50"/>
          <w:szCs w:val="50"/>
        </w:rPr>
        <w:t xml:space="preserve">Investor Map &amp; Exit Strategy</w:t>
      </w:r>
    </w:p>
    <w:p>
      <w:pPr>
        <w:spacing w:after="600" w:before="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Mappa realistica dei finanziatori per AIROOBI, term sheet logic, e tre lanes di exit con scenari numerici.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RAZIONALE DEL DOCUMENTO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AIROOBI è in una nicchia rara: consumer crypto + Italia + Kaspa-native. Il pool di investitori potenzialmente interessati è specifico — non sparare a 100 VC random ma a 25 ben profilati. Questo documento è la lista, l'ordine di approccio, la strategia di outreach, e la roadmap di liquidità per chi entra adesso.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7000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7000"/>
                <w:spacing w:val="100"/>
                <w:sz w:val="18"/>
                <w:szCs w:val="18"/>
              </w:rPr>
              <w:t xml:space="preserve">STATO A 27 APR 2026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Round target: € 750.000 pre-seed · SAFE/convertibile · cap € 5M · sconto 20% · 18 mesi runway. Use of funds: 40% team, 25% legal/compliance, 20% smart contract Kaspa + audit, 10% community, 5% treasury seed.</w:t>
            </w:r>
          </w:p>
        </w:tc>
      </w:tr>
    </w:tbl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Contenuto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Sintesi del round e term sheet logic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2.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Mappa investitori — 5 cluster, 25 nomi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3.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Outreach playbook — sequenza, materiali, timing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4.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Cosa chiedono gli investitori in ognuno dei 5 cluster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5.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Exit strategy — 3 lanes con scenari numerici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6.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Cap table evolution — pre-seed → exit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7.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Rischi e segnali rossi — cosa NON dire/fare in pitch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1. Sintesi del round e term sheet logic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Round pre-seed da chiudere in 90-120 giorni dalla fine di Alpha Brave (target settembre 2026). Strumento: SAFE post-money con cap € 5M e sconto 20%. Razionale: strumento light, no negoziazione di equity diretta in fase early, conversione automatica al primo round successivo (Series Seed) o evento di liquidità.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1.1 Term sheet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Razionale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Round size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€ 750.000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18 mesi runway con team da 6 FTE da M3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Strumento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SAFE post-money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Standard early-stage, no dilution diretta finché non c'è un priced round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Cap valutativo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€ 5.000.000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Coerente con stage Alpha Brave + traction iniziale + repo + brand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Sconto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20%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Premio per chi entra prima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Pro-rata rights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Sì, fino a Series A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Chi entra ora ha diritto di seguire — fundraiser-friendly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MFN clause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Sì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Most Favored Nation: se chiudo a termini migliori, lo applico anche ai precedenti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Information rights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Trimestrale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Reporting standard: KPI, financials, treasury, milestone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Founder vesting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 anni · 1 anno cliff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Standard, allinea founder e investitori sul lungo periodo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Token allocation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12% pool community + 18% team/founder + 70% rest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 formalizzare al TGE — investor pre-seed ha diritto a quota in base al cap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NUMERI DI BASE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Su € 750k a cap € 5M con sconto 20%: l'investor entra effettivamente a una valutazione di € 4M. Se il round Series Seed chiude a € 12-15M, conversione 3-3.75x sul cap. Se chiude oltre, il cap protegge comunque l'investor pre-seed.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1.2 Tre soglie di chiusura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Tickets target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Qualità segnale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MINIMUM VIABLE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€ 250-300k da 3-5 angel + 1 micro-VC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Sopravvivenza · 12 mesi runway · serve secondary in 8-9 mesi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BASE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€ 750k da 1 lead VC + 5-7 angel + retail comm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Round target · 18 mesi runway · Series Seed da impostare in M14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OVERSUBSCRIBED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€ 1.0-1.2M con allocation cap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Eccellente · prezzo signal positivo per Series Seed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2. Mappa investitori — 5 cluster, 25 nomi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Cinque cluster di investitori realisticamente raggiungibili. Ognuno ha logica di approccio, materiali specifici, timing diverso. Total addressable: ~25 nomi specifici. Realistico: 4-7 chiusure su 25.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Cluster 1 — VC crypto-native EU (priorità ALTA)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Sono i fondi che hanno tesi su consumer crypto + emerging L1 + Italia. Il pitch va su: (a) Kaspa è blockchain underserved con community attiva, (b) AIROOBI è il primo consumer marketplace su Kaspa, (c) modello fairness è IP difendibile.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500"/>
        <w:gridCol w:w="1100"/>
        <w:gridCol w:w="316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Sede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 size tipico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 score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 / Note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United Ventures (Crypto Fund III)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Milano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€ 250k-1M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VC italiano con tesi crypto chiara. Founder italiani = priorità.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LDV Capital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Milano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€ 200k-500k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Vision-tech, AI-first, alcune scommesse crypto. Pitch su AI-first ops + CCP autonomo su Pi 5.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Variant Fund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 · global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€ 500k-2M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Tesi consumer crypto fortissima. Founder Jesse Walden ha investito in modelli simili. Approccio via warm intro.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BlueYard Capital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Berlino · DE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€ 500k-1.5M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Tesi su "open systems". Crypto-native EU. Risponde a pitch tecnico-rigoroso (technical companion va in evidenza).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1kx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Berlino · DE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€ 250k-1M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Crypto-only, network effect-driven. Ottimo match per fair-airdrop come network mechanism.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Greenfield Capital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Berlino · DE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€ 500k-2M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Crypto-native, bias DeFi/L2 ma apre a consumer.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Maven 11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Amsterdam · NL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€ 500k-1.5M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Crypto-native EU. Già investito in alcune Kaspa-adjacent.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Cluster 2 — Italian VC + Tech generalista (priorità ALTA)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Fondi italiani non crypto-only ma con tech-bias e capacità di chiudere round pre-seed in 6-8 settimane. Pitch più consumer/business, meno tecnico-crypto.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500"/>
        <w:gridCol w:w="1100"/>
        <w:gridCol w:w="316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Sede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 size tipico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 score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 / Note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Italian Founders Fund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Milano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€ 100k-500k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Founder-friendly, focus Italia. Pitch su "primo consumer crypto IT".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Primo Ventures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Milano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€ 200k-1M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Tech generalista. Apre se traction iniziale solida.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Cdp Venture Capital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Roma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€ 500k-2M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Pubblico-privato, lento, ma può unlock ulteriore matching fund.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P101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Milano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€ 250k-1M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Generalista, alcune posizioni crypto-fintech.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360 Capital Partners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Milano · IT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€ 250k-1M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6/10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Generalista early-stage IT.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Cluster 3 — Angel investor crypto/tech (priorità MEDIA, velocità ALTA)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Singoli angel italiani con esperienza crypto o ex-founder venduti. Ticket € 25-100k, decisione in 2-3 incontri, processo semplificato. Sono quelli che fanno passare il round dal "nice to have" al "sì, partiamo".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100"/>
        <w:gridCol w:w="20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Profilo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Esempi target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Ex-founder crypto IT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Sergio Russo (ex Conio), Giovanni Casagrande (Young Platform)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€ 25-50k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DM su X o intro warm via founder italiani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Angel club crypto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Italian Angels for Growth (alcuni soci con tesi crypto)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€ 50-100k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Pitch night a Milano · post-Alpha Brave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Operatori Kaspa community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Holder Kaspa con net worth alto, IT-based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€ 25-100k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Outreach via Telegram crypto IT, post X targetizzato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Founder altri marketplace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Founder/exec Subito, Vinted, Vestiaire (IT)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€ 25-75k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LinkedIn cold + warm intro · pitch su "second-hand luxury con web3"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Cluster 4 — Strategic / brand partners (priorità MEDIA, value &gt; capital)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Brand luxury, exchange crypto, marketplace. Possono entrare con ticket modesti ma soprattutto con asset e go-to-market — partnership che valgono più del cash.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900"/>
        <w:gridCol w:w="19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Esempi target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apportano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 atteso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Exchange crypto (listing partner)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MEXC, Bitfinex, Binance.IT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Listing ARIA post-Stage 2 + co-marketing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€ 50-200k + listing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Brand luxury second-hand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Vestiaire Collective, The RealReal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Inventory partnership per primi airdrop seller-side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€ 100-300k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Brand orologi / gioielli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Bonava, Watchfinder, alcuni dealer indipendenti IT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Oggetti in palio + co-branded campaigns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€ 50-150k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Kaspa core ecosystem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Kaspa Foundation, ecosystem grants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Validation, technical credibility, community endorsement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Grant € 25-100k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Wallet / dApp Kaspa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Kaspium, KaspaWallet, Kasware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Integration native + traffic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Co-marketing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Cluster 5 — Retail / community round (priorità BASSA in pre-seed, ALTA pre-Stage 2)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Quando arriverà il TGE (Token Generation Event) per ARIA in Stage 2, una porzione di token sarà allocata alla community via public sale o IDO. È un canale di funding ma anche e soprattutto di acquisizione utenti. Da non chiamare "investor round" oggi, ma da preparare la struttura.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00"/>
        <w:gridCol w:w="32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IDO platform Kaspa-native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Stage 2 (post-Beta)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€ 500k-1.5M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Allocazione 5-8% di ARIA supply. Lockup 6-12 mesi.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Community sale capped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Stage 2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€ 200-500k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Solo Alpha Brave members + early holders. Premio fedeltà.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Bounty + airdrop ARIA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Stage 2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Non monetario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5-8% supply distribuito a contributor. Acquisition tool, non capital.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3. Outreach playbook — sequenza, materiali, timing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Approccio sequenziale per non bruciare gli investor migliori prima di avere traction. Tre fasi distinte.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3.1 Fase 1 — Soft signals (giorni 1-30 di Alpha Brave)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Contattare 3-5 angel del Cluster 3 con cui Tommaso ha rapporto warm (anche solo da X/LinkedIn). Pitch da bar, non formale. Obiettivo: feedback qualitativo, non chiusura.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Mandare cold email a 2-3 partner di Cluster 1 (Variant, BlueYard, 1kx) con subject "feedback request — fair-airdrop on Kaspa". Allegare pitch deck + chiedere 30 min in chiamata. NO ASK economico.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post X founder-led: "Sto avviando il primo consumer crypto su Kaspa. Cerco 3 advisor." — l'advisorship attira chi è interessato senza chiedere capital diretto.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3.2 Fase 2 — Active fundraising (giorni 60-90 di Alpha Brave)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Quando si supera 500 utenti, partire con outreach attivo. Materiali: pitch deck v1, technical companion, primo case study airdrop seed completato.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Contattare i top 7-10 nomi di Cluster 1 + Cluster 2 in parallelo. Subject: "AIROOBI · pre-seed € 750k · 750+ utenti, primo airdrop reale in Q3."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Pitching in 3-4 incontri/sett. Tommaso founder-led, ROBY prepara materiali ad-hoc per ogni call (one-pager personalizzato per cluster).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Apertura data room con: deck, technical companion, year 1 forecast, legal framework, traction dashboard, repo access (per chi vuole technical due diligence).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3.3 Fase 3 — Closing (giorni 90-150 dopo Alpha Brave)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Identificare il "lead investor" — quello che firma per primo, fissa termini, attira gli altri. Idealmente Cluster 1 (crypto-native EU).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Una volta che il lead firma, gli altri seguono in 4-6 settimane. Apertura allocation per angel + strategic con MFN clause.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Closing della round entro 150 giorni dall'avvio. Annuncio pubblico solo a round chiuso (mai mid-process).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Post-closing: investor update mensile primi 3 mesi, poi trimestrale. Reporting standard: KPI, treasury, milestone, prossimi passi.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MATERIALI PER CLUSTER — NON ONE-SIZE-FITS-ALL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Cluster 1 (crypto-native): pitch deck + technical companion + token allocation memo. Cluster 2 (IT generalist): pitch deck + Year 1 Forecast + comp analysis (vs Vinted/Subito). Cluster 3 (angel): one-pager 3 slide + 30-min call. Cluster 4 (strategic): partnership memo dedicato. Cluster 5 (community): aspettare Stage 2.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4. Cosa chiedono gli investitori (e cosa risponderemo)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Ogni cluster ha le sue 3-5 domande tipiche. Avere la risposta pronta riduce il time-to-close del 30-50%.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4.1 Cluster 1 (crypto-native) — le domande tecniche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Domanda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Risposta breve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Quale è il moat tecnico difendibile?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Scoring v5 + pity bounded cost — IP brevettabile, prima implementazione known di un sistema con cap di spesa in airdrop. Technical companion §3-4.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Come gestite Sybil senza KYC?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Roadmap di hardening: rate-limit IP + soft phone-KYC entro M2, KYC obbligatorio Stage 1. Tracked nel technical companion §10.1. Apertura totale.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Perché Kaspa e non Solana/Ethereum/Polygon?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BlockDAG + 1-2s confirms + fair launch + community ideologicamente allineata. Soprattutto: vuoto consumer su Kaspa = first-mover sostenibile. Ethereum è troppo affollato.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Smart contract già auditati?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No, audit pianificato per Stage 2 (post-pre-seed). 20% del round serve a questo + KYC integration. Trasparenza: nessun smart contract live oggi.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Cosa succede se Kaspa flop?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Architettura è blockchain-agnostic — possiamo migrare. Token bridge esiste. Ma la nostra tesi è che Kaspa cresce: top-30 cap già oggi.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4.2 Cluster 2 (Italian generalist) — le domande consumer/business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Domanda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Risposta breve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Mercato vero o cripto-bolla?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TAM €8.2T (commerce mondiale luxury+tech), SAM €51B (IT+crypto IT). Anche se solo crypto-niche → SOM €200M Anno 3 con 100k MAU.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Concorrenza diretta?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Nessuno fa fair-airdrop on-chain di oggetti reali. Vinted/Subito non hanno meccanismo blockchain. Raffles/lotterie online sono regolamentati come gambling, noi non lo siamo per design.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Path to revenue?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Year 1 forecast €780k revenue (P2P fee 1.5% + Video Ads + Corporate da M6). EBITDA €350k = 45% margin. Nessuna utenza paying necessaria fino Stage 1.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Cosa succede se il pareger legale gambling è negativo?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Mitigazione strutturale già implementata: scoring deterministico + asset-backed + bounded cost. Se servisse pivoting, riformulazione "reward-based crowdfunding" è praticabile. Worst case = ritardo 6 mesi su Stage 1, non shutdown.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Defendibilità del founder solo?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Lean team + AI-first ops dimostrano che il modello scala con poche persone fisiche. Hiring CTO co-founder è prima priorità post-funding.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4.3 Cluster 3 (angel) — le domande emozionali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Domanda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Risposta breve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Perché crederti?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 open, app live, 287 file, 38 articoli, scoring v5 deployato a costo zero infra. La barca è già galleggiante, ti sto chiedendo benzina per uscire dal porto.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Quanto velocemente girano i miei soldi?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18 mesi runway con € 750k. Primo airdrop reale Q3 2026, primo revenue significativo Q4 2026. Liquidity event teorico 24-30 mesi (TGE) o 36-48 mesi (M&amp;A).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Cosa rischio?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Capital perdita totale possibile. Risk-adjusted return atteso: 8-15x su exit successo, zero su fallimento. Non investire più del 5% del net worth.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5. Exit Strategy — 3 lanes con scenari numerici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AIROOBI ha tre exit lanes plausibili. Vanno mantenute parallele — non scegliere prematuramente. La giusta exit dipende da come evolve il mercato crypto + come scaliamo gli utenti.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5.1 Lane A — Token Generation Event (TGE) + listing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Cosa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ARIA (KRC-20) viene quotato su exchange Kaspa-friendly. Liquidità diretta per token holder, parziale liquidità per equity holder via secondary OTC.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Quando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Stage 2 → Stage 3 transizione · timeline 18-24 mesi post-funding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Exchange target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MEXC (most likely first), Gate.io, Biconomy, BitGet (Kaspa-friendly tier 2-3)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Multipli attesi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Token allocation pre-seed × FDV iniziale TGE = 3-8x sul cap (€ 5M → € 15-40M FDV)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Rischio principale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Bear market crypto al momento del TGE → FDV depresso · listing weak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Probabilità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ALTA — è la lane più naturale per un progetto crypto-native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NUMERO DA RICORDARE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Allocazione tipica investitori pre-seed: 8-15% di ARIA supply. Su FDV TGE € 30M (scenario base) → € 2.4-4.5M valore allocazione totale. Su € 750k investiti → 3.2-6x multiplier sui token, indipendentemente dal valore equity. Lockup 6-12 mesi standard.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5.2 Lane B — Strategic M&amp;A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Cosa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Acquisizione totale di AIROOBI da player strategic — equity holder ottengono cash + parziale stock dell'acquirente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Quando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30-48 mesi post-funding · meglio se post-Mainnet a regime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Acquirenti probabili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Marketplace web3 (Rarible, OpenSea-like EU), exchange con strategy commerce (Binance, Coinbase commerce arm), big-tech consumer crypto (Block, PayPal Crypto)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Multipli attesi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5-10x ARR (Annual Recurring Revenue) — se ARR Y2 è € 3M → exit € 15-30M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Rischio principale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Concentrazione su un acquirente unico · processo lungo 6-12 mesi · competing offer rare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Probabilità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MEDIA — dipende molto da come si muove il mercato M&amp;A crypto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5.3 Lane C — Series Seed/A + secondary parziale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Cosa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Series Seed o A da € 3-8M. Investor pre-seed convertono SAFE + opzione secondary partial cash-out (10-30% della loro posizione)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Quando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12-18 mesi post-pre-seed · post-Beta o early Pre-Prod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Investitori target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Stessi VC del Cluster 1 + lead Cluster 2 (Index Ventures, NEA, a16z crypto)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Multipli attesi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Conversione SAFE → cap € 5M = 3-5x sul token equivalente. Secondary partial 10-30% al pricing del nuovo round = liquidity bridge.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Rischio principale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Secondary può essere bloccato dal lead del nuovo round se vuole fresh capital only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Probabilità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ALTA — è la lane di liquidity intermedia più probabile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5.4 Confronto lane scenari numerici (su € 750k pre-seed)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500"/>
        <w:gridCol w:w="1200"/>
        <w:gridCol w:w="2360"/>
      </w:tblGrid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Multipli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19"/>
                <w:szCs w:val="19"/>
              </w:rPr>
              <w:t xml:space="preserve">Worst-case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Shutdown / pivot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12-18 mesi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0x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Fallimento legal, no traction. Recupero parziale via team disolvendo asset.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Lane A · TGE basso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24 mesi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2-3x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TGE su mercato bear, FDV € 15M. Investor pre-seed: € 1.5-2.25M.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19"/>
                <w:szCs w:val="19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Lane A · TGE base / Lane C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24-30 mesi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5-8x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TGE FDV € 30M o secondary su Series A € 25M valuation. € 3.7-6M per investor pre-seed.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9EACB"/>
                <w:sz w:val="19"/>
                <w:szCs w:val="19"/>
              </w:rPr>
              <w:t xml:space="preserve">Optimistic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Lane A · TGE alto / Lane B M&amp;A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30-48 mesi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12-20x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TGE bull market FDV € 100M+ o M&amp;A a 8-10x ARR. € 9-15M+ per investor pre-seed.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6. Cap table evolution — pre-seed → exit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Simulazione cap table semplificata, equity-only (i token seguono separatamente). Numeri indicativi — la versione finale dipende da term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500"/>
        <w:gridCol w:w="1500"/>
        <w:gridCol w:w="1200"/>
        <w:gridCol w:w="1100"/>
        <w:gridCol w:w="1060"/>
      </w:tblGrid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Founder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/ Option pool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Pre-seed (SAFE)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Series Seed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Series A</w:t>
            </w:r>
          </w:p>
        </w:tc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Pre-seed (oggi)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Founder solo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Pre-seed (€750k cap €5M)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85%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SAFE non ancora convertito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Series Seed (€3M @ €15M post)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65%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12% (conv)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SAFE convertito a sconto + option pool 10%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Series A (€10M @ €50M post)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50%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9%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19%</w:t>
            </w:r>
          </w:p>
        </w:tc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Pre-seed diluito ma multipli x 5+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Pre-Exit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45%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13%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8%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17%</w:t>
            </w:r>
          </w:p>
        </w:tc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Treasury options pool · ulteriore round B possibile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LOGICA CHIAVE PER IL FOUNDER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Il founder mantiene control (&gt;50%) fino a Series A inclusa. Dopo Series A perde control statutario ma non ha senso preoccuparsi prima. La diluizione attesa pre-seed → Series A è 15% → 8-9%, ovvero il valore moltiplicatore sull'equity totale (5x→10x→20x) batte la diluizione.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7. Rischi e segnali rossi (cosa NON dire/fare in pitch)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Ho fatto un po' di reverse engineering di cosa fa scappare gli investor crypto-tech. Lista pratica di cose da evitare in ogni pitch / data room / call con investor.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 NON dire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Perché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 dire invece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"Il mercato crypto è infinito, basta prendere lo 0,01%."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Argomento da pitch debole. Tutti lo dicono. Indica mancanza di precisione.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TAM/SAM/SOM con numeri specifici e fonti.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"Siamo i primi e nessuno può copiarci."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Falso e indica overconfidence. Tutto è copiabile.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"Il moat è il pity bounded cost + community + first-mover su Kaspa. Replicabile in 6-12 mesi, ma noi avremo un anno di vantaggio."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"Non abbiamo concorrenti."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Indica analisi superficiale.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"I concorrenti adiacenti sono X, Y, Z — noi differenziamo su A, B, C."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"Il legal è ok, abbiamo controllato."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Senza parere studio specializzato gaming-law, è una claim debole.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"Abbiamo fatto un'analisi interna, in chiusura un parere formale di studio gaming-law IT/EU prima di Stage 1."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"Faremo $X di revenue il prossimo anno."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Forecast vendor da rookie.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"Scenario base €780k revenue, sensitivity ±30%, fattori chiave A, B, C."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"L'exit è in 12 mesi."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Promessa irrealistica = red flag immediato.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"Liquidity event probabile in 24-30 mesi via TGE o secondary su Series A. Range multiplier 3-15x."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"Tutto pronto, basta scalare."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L'investor sa che non è mai vero — vuole onestà.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"Stadio Alpha. Sei buchi tecnici noti. Roadmap di chiusura in technical companion §10."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Mostrarsi nervosi sui token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 VC non amano founder che sembrano ossessionati dal token price.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Token come strumento, non come fine. Equity come backbone.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UNA SOLA COSA CHE IL FOUNDER DEVE DIRE FORTE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"Noi non abbiamo costruito un prodotto e cerchiamo finanziamento per scoprire se funziona. Abbiamo costruito un prodotto, lo stiamo testando, e il finanziamento serve a portarlo da prototipo brillante a infrastruttura production-ready. La differenza non è semantica — è quello che ci distingue dal 95% dei pitch che vedete."</w:t>
            </w:r>
          </w:p>
        </w:tc>
      </w:tr>
    </w:tbl>
    <w:p>
      <w:pPr>
        <w:pageBreakBefore/>
        <w:spacing w:after="200" w:before="6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Closing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Questo documento è la mappa, non il territorio. La lista degli investitori si aggiornerà ogni settimana sulla base di chi risponde, chi rifiuta, chi rimanda. Le percentuali di multiplier e i timing sono stime basate su comparable di mercato — vanno presi come ordini di grandezza, non come promesse.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cosa che voglio che tu, founder, tenga in mente sopra tutto: la metrica di successo del round NON è raccogliere € 750k. È raccoglierli al cap giusto, con i partner giusti, con i term sheet giusti per non castrare le opzioni di exit. Meglio rimandare 3 mesi e chiudere con un Variant + 2 angel italiani allineati che chiudere oggi con un fondo italiano generalist che non capisce crypto.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ROBY · Strategic MKT, Communication &amp; Community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Apr 2026 · investor playbook · v1.0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55555"/>
        <w:sz w:val="16"/>
        <w:szCs w:val="16"/>
      </w:rPr>
      <w:t xml:space="preserve">Confidential · Pre-Seed Q2 2026 · v1.0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8" w:space="4"/>
      </w:pBdr>
      <w:spacing w:after="0"/>
    </w:pPr>
    <w:r>
      <w:rPr>
        <w:rFonts w:ascii="Calibri" w:cs="Calibri" w:eastAsia="Calibri" w:hAnsi="Calibri"/>
        <w:b/>
        <w:bCs/>
        <w:color w:val="B8960C"/>
        <w:spacing w:val="80"/>
        <w:sz w:val="18"/>
        <w:szCs w:val="18"/>
      </w:rPr>
      <w:t xml:space="preserve">AIROOBI</w:t>
    </w:r>
    <w:r>
      <w:rPr>
        <w:rFonts w:ascii="Calibri" w:cs="Calibri" w:eastAsia="Calibri" w:hAnsi="Calibri"/>
        <w:color w:val="555555"/>
        <w:spacing w:val="60"/>
        <w:sz w:val="18"/>
        <w:szCs w:val="18"/>
      </w:rPr>
      <w:t xml:space="preserve">  ·  INVESTOR MAP &amp; EXIT STRATEGY  ·  Q2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AIROOBI · Investor Map &amp; Exit Strategy</dc:title>
  <dc:creator>AIROOBI · ROBY</dc:creator>
  <cp:lastModifiedBy>Un-named</cp:lastModifiedBy>
  <cp:revision>1</cp:revision>
  <dcterms:created xsi:type="dcterms:W3CDTF">2026-04-27T16:00:42.010Z</dcterms:created>
  <dcterms:modified xsi:type="dcterms:W3CDTF">2026-04-27T16:00:42.010Z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