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40"/>
          <w:szCs w:val="40"/>
        </w:rPr>
        <w:t xml:space="preserve">PeatGuard: Future Development Plan</w:t>
      </w:r>
    </w:p>
    <w:p>
      <w:pPr>
        <w:spacing w:after="100"/>
        <w:jc w:val="center"/>
      </w:pPr>
      <w:r>
        <w:rPr>
          <w:rFonts w:ascii="Arial" w:cs="Arial" w:eastAsia="Arial" w:hAnsi="Arial"/>
          <w:sz w:val="28"/>
          <w:szCs w:val="28"/>
        </w:rPr>
        <w:t xml:space="preserve">Tommy Quak</w:t>
      </w:r>
    </w:p>
    <w:p>
      <w:pPr>
        <w:spacing w:after="100"/>
        <w:jc w:val="center"/>
      </w:pPr>
      <w:r>
        <w:rPr>
          <w:i/>
          <w:iCs/>
          <w:sz w:val="24"/>
          <w:szCs w:val="24"/>
        </w:rPr>
        <w:t xml:space="preserve">National University of Singapore, Department of Geography</w:t>
      </w:r>
    </w:p>
    <w:p>
      <w:pPr>
        <w:spacing w:after="400"/>
        <w:jc w:val="center"/>
      </w:pPr>
      <w:r>
        <w:rPr>
          <w:sz w:val="24"/>
          <w:szCs w:val="24"/>
        </w:rPr>
        <w:t xml:space="preserve">March 2026</w:t>
      </w:r>
    </w:p>
    <w:p>
      <w:r>
        <w:br w:type="page"/>
      </w:r>
    </w:p>
    <w:p>
      <w:pPr>
        <w:pStyle w:val="Heading1"/>
      </w:pPr>
      <w:r>
        <w:t xml:space="preserve">1. Atmospheric Correction (Highest Priority)</w:t>
      </w:r>
    </w:p>
    <w:p>
      <w:pPr>
        <w:pStyle w:val="Heading2"/>
      </w:pPr>
      <w:r>
        <w:t xml:space="preserve">Problem</w:t>
      </w:r>
    </w:p>
    <w:p>
      <w:pPr>
        <w:spacing w:after="200"/>
      </w:pPr>
      <w:r>
        <w:t xml:space="preserve">Tropical Kalimantan has high atmospheric water vapor causing 5-20 mm equivalent phase delays in InSAR measurements. Without correction, velocity estimates carry 5-15 mm/yr systematic bias, causing results to vary significantly between processing runs. This is the single largest source of error in the current pipeline.</w:t>
      </w:r>
    </w:p>
    <w:p>
      <w:pPr>
        <w:pStyle w:val="Heading2"/>
      </w:pPr>
      <w:r>
        <w:t xml:space="preserve">Solution: ERA5 Tropospheric Correction via CDS API</w:t>
      </w:r>
    </w:p>
    <w:p>
      <w:pPr>
        <w:spacing w:after="200"/>
      </w:pPr>
      <w:r>
        <w:t xml:space="preserve">The Copernicus Climate Data Store (CDS) provides free ERA5 atmospheric reanalysis data. MintPy has built-in support for ERA5 via PyAPS (Python-based Atmospheric Phase Screen). Implementation requires: (1) Register for a free CDS account at https://cds.climate.copernicus.eu; (2) Obtain a CDS API key; (3) Add the key as a Cloud Run secret environment variable; (4) Enable in MintPy config: mintpy.troposphericDelay.method = pyaps. This single change removes 5-15 mm/yr of atmospheric noise and makes results reproducible across runs.</w:t>
      </w:r>
    </w:p>
    <w:p>
      <w:pPr>
        <w:pStyle w:val="Heading2"/>
      </w:pPr>
      <w:r>
        <w:t xml:space="preserve">Additional: Ionospheric Correction</w:t>
      </w:r>
    </w:p>
    <w:p>
      <w:pPr>
        <w:spacing w:after="200"/>
      </w:pPr>
      <w:r>
        <w:t xml:space="preserve">ISCE2 supports ionospheric correction via split-spectrum processing. Enable by adding &lt;property name="do ion"&gt;True&lt;/property&gt; to the topsApp XML configuration. This is particularly important for equatorial regions like Kalimantan where ionospheric delays are strongest.</w:t>
      </w:r>
    </w:p>
    <w:p>
      <w:pPr>
        <w:pStyle w:val="Heading1"/>
      </w:pPr>
      <w:r>
        <w:t xml:space="preserve">2. L-band SAR for Forest Penetration (High Priority)</w:t>
      </w:r>
    </w:p>
    <w:p>
      <w:pPr>
        <w:pStyle w:val="Heading2"/>
      </w:pPr>
      <w:r>
        <w:t xml:space="preserve">Problem</w:t>
      </w:r>
    </w:p>
    <w:p>
      <w:pPr>
        <w:spacing w:after="200"/>
      </w:pPr>
      <w:r>
        <w:t xml:space="preserve">Sentinel-1 C-band radar (5.6 cm wavelength) cannot penetrate tropical forest canopy. The signal reflects off leaves and branches rather than reaching the ground surface. This means InSAR only measures subsidence in cleared or sparsely vegetated areas. Intact peat forest, which stores the most carbon, shows low coherence and is masked out of the analysis.</w:t>
      </w:r>
    </w:p>
    <w:p>
      <w:pPr>
        <w:pStyle w:val="Heading2"/>
      </w:pPr>
      <w:r>
        <w:t xml:space="preserve">Solution: NISAR L-band Data (Available Now)</w:t>
      </w:r>
    </w:p>
    <w:p>
      <w:pPr>
        <w:spacing w:after="200"/>
      </w:pPr>
      <w:r>
        <w:t xml:space="preserve">The NASA-ISRO Synthetic Aperture Radar (NISAR) mission launched in 2024 and began releasing L-band data in January 2026. L-band radar (24 cm wavelength) penetrates tropical canopy and measures actual ground deformation beneath forest cover. Key details:</w:t>
      </w:r>
    </w:p>
    <w:p>
      <w:pPr>
        <w:spacing w:after="80"/>
      </w:pPr>
      <w:r>
        <w:rPr>
          <w:b/>
          <w:bCs/>
        </w:rPr>
        <w:t xml:space="preserve">Data Status: </w:t>
      </w:r>
      <w:r>
        <w:t xml:space="preserve">Over 100,000 Level 1-3 L-band data products were released in February 2026 via the Alaska Satellite Facility (ASF) DAAC. Data covers October 2025 through January 2026. Fully calibrated global products are expected by May/June 2026.</w:t>
      </w:r>
    </w:p>
    <w:p>
      <w:pPr>
        <w:spacing w:after="80"/>
      </w:pPr>
      <w:r>
        <w:rPr>
          <w:b/>
          <w:bCs/>
        </w:rPr>
        <w:t xml:space="preserve">Cost: </w:t>
      </w:r>
      <w:r>
        <w:t xml:space="preserve">All NISAR data is free and openly available to the public. No cost, no application, no special permissions required.</w:t>
      </w:r>
    </w:p>
    <w:p>
      <w:pPr>
        <w:spacing w:after="80"/>
      </w:pPr>
      <w:r>
        <w:rPr>
          <w:b/>
          <w:bCs/>
        </w:rPr>
        <w:t xml:space="preserve">Access: </w:t>
      </w:r>
      <w:r>
        <w:t xml:space="preserve">Download via ASF Vertex (https://search.asf.alaska.edu), Earthdata Search (https://search.earthdata.nasa.gov), or the asf_search Python API which our pipeline already uses.</w:t>
      </w:r>
    </w:p>
    <w:p>
      <w:pPr>
        <w:spacing w:after="80"/>
      </w:pPr>
      <w:r>
        <w:rPr>
          <w:b/>
          <w:bCs/>
        </w:rPr>
        <w:t xml:space="preserve">Cloud Access: </w:t>
      </w:r>
      <w:r>
        <w:t xml:space="preserve">NISAR data is stored in AWS S3, allowing direct cloud processing without downloading large files.</w:t>
      </w:r>
    </w:p>
    <w:p>
      <w:pPr>
        <w:spacing w:after="80"/>
      </w:pPr>
      <w:r>
        <w:rPr>
          <w:b/>
          <w:bCs/>
        </w:rPr>
        <w:t xml:space="preserve">Repeat Cycle: </w:t>
      </w:r>
      <w:r>
        <w:t xml:space="preserve">12 days, providing dense temporal sampling for SBAS time-series analysis.</w:t>
      </w:r>
    </w:p>
    <w:p>
      <w:pPr>
        <w:spacing w:after="80"/>
      </w:pPr>
      <w:r>
        <w:rPr>
          <w:b/>
          <w:bCs/>
        </w:rPr>
        <w:t xml:space="preserve">Documentation: </w:t>
      </w:r>
      <w:r>
        <w:t xml:space="preserve">NISAR Data User Guide at https://nisar-docs.asf.alaska.edu</w:t>
      </w:r>
    </w:p>
    <w:p>
      <w:pPr>
        <w:spacing w:after="200"/>
      </w:pPr>
      <w:r>
        <w:rPr>
          <w:b/>
          <w:bCs/>
        </w:rPr>
        <w:t xml:space="preserve">Pipeline Integration: </w:t>
      </w:r>
      <w:r>
        <w:t xml:space="preserve">ISCE2 natively supports NISAR L-band SLC data. Our existing pipeline requires only sensor configuration changes (sensor name, wavelength, subswath parameters) to process NISAR data alongside or instead of Sentinel-1.</w:t>
      </w:r>
    </w:p>
    <w:p>
      <w:pPr>
        <w:pStyle w:val="Heading2"/>
      </w:pPr>
      <w:r>
        <w:t xml:space="preserve">Alternative: ALOS-2 PALSAR-2</w:t>
      </w:r>
    </w:p>
    <w:p>
      <w:pPr>
        <w:spacing w:after="200"/>
      </w:pPr>
      <w:r>
        <w:t xml:space="preserve">JAXA's ALOS-2 PALSAR-2 provides L-band SAR data free for research and educational users. Apply at https://www.eorc.jaxa.jp/ALOS-2/en/calval/calval_index.htm. NUS students qualify through institutional research agreements. Application takes 2-4 weeks. ALOS-2 provides archival L-band data extending back to 2014, enabling longer time-series analysis than NISAR alone.</w:t>
      </w:r>
    </w:p>
    <w:p>
      <w:pPr>
        <w:pStyle w:val="Heading1"/>
      </w:pPr>
      <w:r>
        <w:t xml:space="preserve">3. Reference Point Stabilization (High Priority)</w:t>
      </w:r>
    </w:p>
    <w:p>
      <w:pPr>
        <w:pStyle w:val="Heading2"/>
      </w:pPr>
      <w:r>
        <w:t xml:space="preserve">Problem</w:t>
      </w:r>
    </w:p>
    <w:p>
      <w:pPr>
        <w:spacing w:after="200"/>
      </w:pPr>
      <w:r>
        <w:t xml:space="preserve">MintPy's auto-selected reference point changes between processing runs, shifting the entire velocity field by a constant offset. This causes contradictory results where areas appear as subsiding in one run and stable in another. The current fixed pixel coordinate (1594, 1345) improves reproducibility but may itself be on subsiding peat, biasing all velocity estimates.</w:t>
      </w:r>
    </w:p>
    <w:p>
      <w:pPr>
        <w:pStyle w:val="Heading2"/>
      </w:pPr>
      <w:r>
        <w:t xml:space="preserve">Solutions</w:t>
      </w:r>
    </w:p>
    <w:p>
      <w:pPr>
        <w:spacing w:after="120"/>
      </w:pPr>
      <w:r>
        <w:rPr>
          <w:b/>
          <w:bCs/>
        </w:rPr>
        <w:t xml:space="preserve">1. GNSS Station Reference: </w:t>
      </w:r>
      <w:r>
        <w:t xml:space="preserve">Check the BIG (Badan Informasi Geospasial) CORS network for GPS stations in West Kalimantan with known vertical velocities. A station within the SAR frame provides an absolute reference tied to a geodetic datum.</w:t>
      </w:r>
    </w:p>
    <w:p>
      <w:pPr>
        <w:spacing w:after="120"/>
      </w:pPr>
      <w:r>
        <w:rPr>
          <w:b/>
          <w:bCs/>
        </w:rPr>
        <w:t xml:space="preserve">2. Persistent Scatterer on Stable Structure: </w:t>
      </w:r>
      <w:r>
        <w:t xml:space="preserve">Identify a bridge, mosque, or government building in a nearby town (e.g., Sintang, Sanggau) on non-peat substrate. These show consistently high coherence and minimal subsidence.</w:t>
      </w:r>
    </w:p>
    <w:p>
      <w:pPr>
        <w:spacing w:after="120"/>
      </w:pPr>
      <w:r>
        <w:rPr>
          <w:b/>
          <w:bCs/>
        </w:rPr>
        <w:t xml:space="preserve">3. Multi-Reference Averaging: </w:t>
      </w:r>
      <w:r>
        <w:t xml:space="preserve">Process with several candidate reference points and average the velocity fields. This reduces bias from any single point.</w:t>
      </w:r>
    </w:p>
    <w:p>
      <w:pPr>
        <w:spacing w:after="200"/>
      </w:pPr>
      <w:r>
        <w:rPr>
          <w:b/>
          <w:bCs/>
        </w:rPr>
        <w:t xml:space="preserve">4. External Velocity Model: </w:t>
      </w:r>
      <w:r>
        <w:t xml:space="preserve">Use the ITRF2014 geodetic velocity model to correct for tectonic motion. The Sundaland block has near-zero vertical motion away from subduction zones.</w:t>
      </w:r>
    </w:p>
    <w:p>
      <w:pPr>
        <w:pStyle w:val="Heading1"/>
      </w:pPr>
      <w:r>
        <w:t xml:space="preserve">4. Risk Score Calibration (Medium Priority)</w:t>
      </w:r>
    </w:p>
    <w:p>
      <w:pPr>
        <w:pStyle w:val="Heading2"/>
      </w:pPr>
      <w:r>
        <w:t xml:space="preserve">Problem</w:t>
      </w:r>
    </w:p>
    <w:p>
      <w:pPr>
        <w:spacing w:after="200"/>
      </w:pPr>
      <w:r>
        <w:t xml:space="preserve">The current risk score uses an ad-hoc 60% subsidence / 40% canal proximity weighting with an arbitrary exponential decay function. These parameters have no empirical basis and are not validated against field measurements.</w:t>
      </w:r>
    </w:p>
    <w:p>
      <w:pPr>
        <w:pStyle w:val="Heading2"/>
      </w:pPr>
      <w:r>
        <w:t xml:space="preserve">Solutions</w:t>
      </w:r>
    </w:p>
    <w:p>
      <w:pPr>
        <w:spacing w:after="120"/>
      </w:pPr>
      <w:r>
        <w:rPr>
          <w:b/>
          <w:bCs/>
        </w:rPr>
        <w:t xml:space="preserve">Literature-Based Calibration: </w:t>
      </w:r>
      <w:r>
        <w:t xml:space="preserve">Hooijer et al. (2012) established that peatland subsidence rate is approximately linear with water table depth. Canal proximity maps to water table depth via the Dupuit groundwater flow equation. These published relationships provide a physics-based decay function to replace the arbitrary parameters.</w:t>
      </w:r>
    </w:p>
    <w:p>
      <w:pPr>
        <w:spacing w:after="120"/>
      </w:pPr>
      <w:r>
        <w:rPr>
          <w:b/>
          <w:bCs/>
        </w:rPr>
        <w:t xml:space="preserve">Optical Cross-Validation: </w:t>
      </w:r>
      <w:r>
        <w:t xml:space="preserve">Download Sentinel-2 NDVI time series (free from Copernicus Open Access Hub) or compute via Google Earth Engine. Deforested and drained areas show NDVI decline that should correlate spatially with subsidence patterns.</w:t>
      </w:r>
    </w:p>
    <w:p>
      <w:pPr>
        <w:spacing w:after="200"/>
      </w:pPr>
      <w:r>
        <w:rPr>
          <w:b/>
          <w:bCs/>
        </w:rPr>
        <w:t xml:space="preserve">GEDI LiDAR Validation: </w:t>
      </w:r>
      <w:r>
        <w:t xml:space="preserve">NASA's GEDI mission provides free canopy height data (available from NASA DAAC). Canopy height changes correlate with peat condition and can validate degradation patterns independently of SAR measurements.</w:t>
      </w:r>
    </w:p>
    <w:p>
      <w:pPr>
        <w:pStyle w:val="Heading1"/>
      </w:pPr>
      <w:r>
        <w:t xml:space="preserve">5. Ground Truth Validation (Medium Priority)</w:t>
      </w:r>
    </w:p>
    <w:p>
      <w:pPr>
        <w:pStyle w:val="Heading2"/>
      </w:pPr>
      <w:r>
        <w:t xml:space="preserve">Free Validation Datasets</w:t>
      </w:r>
    </w:p>
    <w:p>
      <w:pPr>
        <w:spacing w:after="80"/>
      </w:pPr>
      <w:r>
        <w:rPr>
          <w:b/>
          <w:bCs/>
        </w:rPr>
        <w:t xml:space="preserve">CIFOR Indonesian Peat Map </w:t>
      </w:r>
      <w:r>
        <w:t xml:space="preserve">(cifor.org): Peat extent and depth across Indonesia.</w:t>
      </w:r>
    </w:p>
    <w:p>
      <w:pPr>
        <w:spacing w:after="80"/>
      </w:pPr>
      <w:r>
        <w:rPr>
          <w:b/>
          <w:bCs/>
        </w:rPr>
        <w:t xml:space="preserve">Global Forest Watch </w:t>
      </w:r>
      <w:r>
        <w:t xml:space="preserve">(globalforestwatch.org): Deforestation timing and extent.</w:t>
      </w:r>
    </w:p>
    <w:p>
      <w:pPr>
        <w:spacing w:after="80"/>
      </w:pPr>
      <w:r>
        <w:rPr>
          <w:b/>
          <w:bCs/>
        </w:rPr>
        <w:t xml:space="preserve">OpenStreetMap: </w:t>
      </w:r>
      <w:r>
        <w:t xml:space="preserve">Canal network digitization for comparison against SAR-detected canals.</w:t>
      </w:r>
    </w:p>
    <w:p>
      <w:pPr>
        <w:spacing w:after="80"/>
      </w:pPr>
      <w:r>
        <w:rPr>
          <w:b/>
          <w:bCs/>
        </w:rPr>
        <w:t xml:space="preserve">GEDI LiDAR Canopy Height </w:t>
      </w:r>
      <w:r>
        <w:t xml:space="preserve">(NASA DAAC): Forest condition and degradation indicators.</w:t>
      </w:r>
    </w:p>
    <w:p>
      <w:pPr>
        <w:spacing w:after="80"/>
      </w:pPr>
      <w:r>
        <w:rPr>
          <w:b/>
          <w:bCs/>
        </w:rPr>
        <w:t xml:space="preserve">Bappenas Peat Moratorium Map </w:t>
      </w:r>
      <w:r>
        <w:t xml:space="preserve">(Indonesian government): Protected peat areas and restoration zones.</w:t>
      </w:r>
    </w:p>
    <w:p>
      <w:pPr>
        <w:spacing w:after="200"/>
      </w:pPr>
      <w:r>
        <w:rPr>
          <w:b/>
          <w:bCs/>
        </w:rPr>
        <w:t xml:space="preserve">MERIT DEM: </w:t>
      </w:r>
      <w:r>
        <w:t xml:space="preserve">High-resolution digital elevation model for peat surface topography.</w:t>
      </w:r>
    </w:p>
    <w:p>
      <w:pPr>
        <w:pStyle w:val="Heading2"/>
      </w:pPr>
      <w:r>
        <w:t xml:space="preserve">Field Collaboration</w:t>
      </w:r>
    </w:p>
    <w:p>
      <w:pPr>
        <w:spacing w:after="200"/>
      </w:pPr>
      <w:r>
        <w:t xml:space="preserve">Tanjungpura University in Pontianak (the capital of West Kalimantan) has an active peatland research group with ground monitoring wells and subsidence benchmarks. NUS Geography has existing partnerships with Indonesian institutions. A collaboration would provide actual subsidence measurements for validation against satellite-derived estimates.</w:t>
      </w:r>
    </w:p>
    <w:p>
      <w:pPr>
        <w:pStyle w:val="Heading1"/>
      </w:pPr>
      <w:r>
        <w:t xml:space="preserve">6. Implementation Timeline</w:t>
      </w:r>
    </w:p>
    <w:p>
      <w:pPr>
        <w:spacing w:after="120"/>
      </w:pPr>
      <w:r>
        <w:rPr>
          <w:b/>
          <w:bCs/>
        </w:rPr>
        <w:t xml:space="preserve">Phase 1 - Immediate (1-2 days):</w:t>
      </w:r>
    </w:p>
    <w:p>
      <w:pPr>
        <w:spacing w:after="60"/>
      </w:pPr>
      <w:r>
        <w:t xml:space="preserve">Register for CDS API key and enable ERA5 tropospheric correction.</w:t>
      </w:r>
    </w:p>
    <w:p>
      <w:pPr>
        <w:spacing w:after="60"/>
      </w:pPr>
      <w:r>
        <w:t xml:space="preserve">Enable ionospheric correction in topsApp configuration.</w:t>
      </w:r>
    </w:p>
    <w:p>
      <w:pPr>
        <w:spacing w:after="200"/>
      </w:pPr>
      <w:r>
        <w:t xml:space="preserve">Download NISAR L-band SLC data from ASF for the study area.</w:t>
      </w:r>
    </w:p>
    <w:p>
      <w:pPr>
        <w:spacing w:after="120"/>
      </w:pPr>
      <w:r>
        <w:rPr>
          <w:b/>
          <w:bCs/>
        </w:rPr>
        <w:t xml:space="preserve">Phase 2 - Short-term (1-2 weeks):</w:t>
      </w:r>
    </w:p>
    <w:p>
      <w:pPr>
        <w:spacing w:after="60"/>
      </w:pPr>
      <w:r>
        <w:t xml:space="preserve">Process NISAR L-band InSAR for forest-penetrating subsidence measurement.</w:t>
      </w:r>
    </w:p>
    <w:p>
      <w:pPr>
        <w:spacing w:after="60"/>
      </w:pPr>
      <w:r>
        <w:t xml:space="preserve">Apply for ALOS-2 PALSAR-2 archival data through NUS for longer time-series.</w:t>
      </w:r>
    </w:p>
    <w:p>
      <w:pPr>
        <w:spacing w:after="200"/>
      </w:pPr>
      <w:r>
        <w:t xml:space="preserve">Download CIFOR peat map and Sentinel-2 NDVI for validation overlay.</w:t>
      </w:r>
    </w:p>
    <w:p>
      <w:pPr>
        <w:spacing w:after="120"/>
      </w:pPr>
      <w:r>
        <w:rPr>
          <w:b/>
          <w:bCs/>
        </w:rPr>
        <w:t xml:space="preserve">Phase 3 - Medium-term (1-2 months):</w:t>
      </w:r>
    </w:p>
    <w:p>
      <w:pPr>
        <w:spacing w:after="60"/>
      </w:pPr>
      <w:r>
        <w:t xml:space="preserve">Identify and set fixed reference point from GPS station or persistent scatterer.</w:t>
      </w:r>
    </w:p>
    <w:p>
      <w:pPr>
        <w:spacing w:after="60"/>
      </w:pPr>
      <w:r>
        <w:t xml:space="preserve">Calibrate risk score using Hooijer et al. water table-subsidence relationship.</w:t>
      </w:r>
    </w:p>
    <w:p>
      <w:pPr>
        <w:spacing w:after="200"/>
      </w:pPr>
      <w:r>
        <w:t xml:space="preserve">Cross-validate with optical imagery and GEDI LiDAR.</w:t>
      </w:r>
    </w:p>
    <w:p>
      <w:pPr>
        <w:spacing w:after="120"/>
      </w:pPr>
      <w:r>
        <w:rPr>
          <w:b/>
          <w:bCs/>
        </w:rPr>
        <w:t xml:space="preserve">Phase 4 - Longer-term (2-4 months):</w:t>
      </w:r>
    </w:p>
    <w:p>
      <w:pPr>
        <w:spacing w:after="60"/>
      </w:pPr>
      <w:r>
        <w:t xml:space="preserve">Establish field validation partnership with Tanjungpura University.</w:t>
      </w:r>
    </w:p>
    <w:p>
      <w:pPr>
        <w:spacing w:after="60"/>
      </w:pPr>
      <w:r>
        <w:t xml:space="preserve">Integrate fully calibrated NISAR data (expected June 2026).</w:t>
      </w:r>
    </w:p>
    <w:p>
      <w:pPr>
        <w:spacing w:after="200"/>
      </w:pPr>
      <w:r>
        <w:t xml:space="preserve">Develop automated monitoring dashboard with scheduled pipeline runs.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888888"/>
        <w:sz w:val="20"/>
        <w:szCs w:val="20"/>
      </w:rPr>
      <w:t xml:space="preserve">PeatGuard: Future Development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2026-03-22T12:53:32.265Z</dcterms:created>
  <dcterms:modified xsi:type="dcterms:W3CDTF">2026-03-22T12:53:32.266Z</dcterms:modified>
</cp:coreProperties>
</file>

<file path=docProps/custom.xml><?xml version="1.0" encoding="utf-8"?>
<Properties xmlns="http://schemas.openxmlformats.org/officeDocument/2006/custom-properties" xmlns:vt="http://schemas.openxmlformats.org/officeDocument/2006/docPropsVTypes"/>
</file>