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Issues with Current Prototype: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The scope, budget, and available materials, there were several concessions that had to be made in the creation of this prototype. These issues include, but are not limited to: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Washing machine frame must be taken apart and reconstructed in order to put items into the wash chamber. This is because an access hatch has not been integrated into the design.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Too much dead space in the design reduces capability of moving water without being fully primed of fluid first. Reducing the irregularity in the shapes of the piston heads will allow them to displace more fluid.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Piston lock-up occurs often. Due to the high friction of the sealing in the washing machine, not only is compression capability greatly reduced, but operation might cease due to lock up. Another contributing factor to this would be the frame, which could be misaligning the force such that the piston lodges itself against the wash chamber wall, resulting in great amounts of friction and further misalignment of the frame.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Design is very large. This is due to using off the shelf parts and allowed to happen in the interest of reduced complexity. Future designs should explore other modes of actuating the piston head.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