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Scope of Project Continuation Summer 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While the purpose of this design is to wash clothing, creating and test a prototype that demonstrates following concepts is the main concern: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Displacing fluids such as air and water to generate flow and allow for control of fluids within the system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The importance of maintaining consistent capacity for holding volumes of fluid for fluids in the wash chamber, and what measures should be taken to maintain consistent volume in the wash chamber during the wash process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Additionally the scope of the project continuation is to demonstrate the capabilities and scope of the design for this washing machine design, such as: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Capability of the machine to carry out each phase of the wash cycle, showing in more detail how exactly the system works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How with the piston displacement fluids, control of the machine can easily be done with valves, and how electronically controlling these valves could automate the process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sealing of the system before, during, and after the the wash cycle, while allowing access to the inside of the machine and wash chamber while not in use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Ability to carry out most phases of the wash cycle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Alongside this goal of showcasing the possibility of a machine manipulating fluids in this way, This prototype would be used to test and reaffirm beliefs held about the design choices made during the school year.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Given this goal, creating a washing machine capable of carrying out all functions fully and without concessions made due to budget and material availability is not within the scope of the project continuation. By extension, creating a prototype capable enough to test the washing capability of the design is not within the project 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