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Traditional washing machines are not designed to work in microgravity environments or accommodate for the scarcity of resources on a spaceship. Because of this, there is currently no way of washing clothing in space. As the distance from earth and need for self-sufficiency for astronauts increases, so does the need for astronauts to be able to clean their own clothing.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typical wash process involves multiple phases of treating clothing items including hydration, agitation, removal of dirty water, and disinfection. Carrying out the wash process using a sealed piston head and wash chamber is one process that may be able to do this.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Compressing a clothing-water mixture generates a flow through the clothing that agitates the clothing. The displacement caused by the piston compressing the clothing creates a flow which can be directed to perform phases of the wash process including hydrating and drying clothing, as well as additional auxiliary processes. In this way, the press for the washing machine both acts as the mode that the clothing is washed by, but also as a circulating pump that enables all functions surrounding the wash process. Using a piston design has inherent advantages such as being able to keep fluids such as air and water separate and bypass key issues of other designs such as surface tension and being able to work independent of gravity. Due to the simplicity of this design and flexibility of this design, the microgravity press washing machine can be a promising solution to this problem.</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