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Scope of Project Summer 2021</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With the press washing machine meeting the criteria and scope of previous continuations, the scope of the project is now to modify the prototype so it is capable of washing clothing given the criteria originally cited for the project (most importantly that the design only uses 500 mL of water). Alongside meeting this criteria, the washing machine will be made to be compatible with the clothing being tested, whereas previously, the wash chamber size was not a concern in the interest of conservation of useful material.</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With the design capable of fulfilling important project criteria and being compatible with the clothing, the design will be tested for viability through various experiments.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With the knowledge gained from testing, the viability of the design can be determined, and a new ideal prototype could be designed to both help better fit criteria and constraints not met by the current prototype, and address results from testing conducted.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