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D690E6">
      <w:pPr>
        <w:pStyle w:val="4"/>
        <w:bidi w:val="0"/>
        <w:jc w:val="center"/>
        <w:rPr>
          <w:rFonts w:hint="default"/>
          <w:lang w:val="en-US"/>
        </w:rPr>
      </w:pPr>
      <w:r>
        <w:rPr>
          <w:rFonts w:hint="eastAsia"/>
          <w:lang w:val="en-US" w:eastAsia="zh-CN"/>
        </w:rPr>
        <w:t>从</w:t>
      </w:r>
      <w:r>
        <w:rPr>
          <w:lang w:val="en-US" w:eastAsia="zh-CN"/>
        </w:rPr>
        <w:t>唐代科举</w:t>
      </w:r>
      <w:r>
        <w:rPr>
          <w:rFonts w:hint="eastAsia"/>
          <w:lang w:val="en-US" w:eastAsia="zh-CN"/>
        </w:rPr>
        <w:t>中明算科</w:t>
      </w:r>
      <w:r>
        <w:rPr>
          <w:lang w:val="en-US" w:eastAsia="zh-CN"/>
        </w:rPr>
        <w:t>的边缘化</w:t>
      </w:r>
      <w:r>
        <w:rPr>
          <w:rFonts w:hint="eastAsia"/>
          <w:lang w:val="en-US" w:eastAsia="zh-CN"/>
        </w:rPr>
        <w:t>到对知识的“偏向”</w:t>
      </w:r>
    </w:p>
    <w:p w14:paraId="1379FFAC">
      <w:pPr>
        <w:bidi w:val="0"/>
        <w:jc w:val="center"/>
        <w:rPr>
          <w:rFonts w:hint="eastAsia"/>
          <w:lang w:val="en-US" w:eastAsia="zh-CN"/>
        </w:rPr>
      </w:pPr>
      <w:r>
        <w:rPr>
          <w:rFonts w:hint="eastAsia"/>
          <w:lang w:val="en-US" w:eastAsia="zh-CN"/>
        </w:rPr>
        <w:t>李忱昊 2025531083</w:t>
      </w:r>
    </w:p>
    <w:p w14:paraId="44927703">
      <w:pPr>
        <w:pStyle w:val="6"/>
        <w:bidi w:val="0"/>
        <w:rPr>
          <w:rFonts w:hint="eastAsia"/>
          <w:lang w:val="en-US" w:eastAsia="zh-CN"/>
        </w:rPr>
      </w:pPr>
      <w:r>
        <w:rPr>
          <w:rFonts w:hint="eastAsia"/>
          <w:lang w:val="en-US" w:eastAsia="zh-CN"/>
        </w:rPr>
        <w:t>一．引言</w:t>
      </w:r>
    </w:p>
    <w:p w14:paraId="1756358A">
      <w:pPr>
        <w:keepNext w:val="0"/>
        <w:keepLines w:val="0"/>
        <w:widowControl/>
        <w:suppressLineNumbers w:val="0"/>
        <w:ind w:firstLine="420" w:firstLineChars="0"/>
        <w:jc w:val="left"/>
        <w:rPr>
          <w:rFonts w:hint="eastAsia"/>
          <w:lang w:val="en-US" w:eastAsia="zh-CN"/>
        </w:rPr>
      </w:pPr>
      <w:r>
        <w:rPr>
          <w:rFonts w:hint="eastAsia"/>
          <w:lang w:val="en-US" w:eastAsia="zh-CN"/>
        </w:rPr>
        <w:t>在中国漫漫历史长河中，历朝历代都有自己的人才选拔制度。从汉朝的察举征辟，到晋朝的九品中正，选拔制度随着时间的推移也在不断的发生变化。在隋炀帝大业年间，科举这一对后世影响颇深的制度被提出。唐朝的统治者们继承并且完善了科举制度，取士途径规制分明，正如《新唐书》所言：“由学馆者曰生徒，由州县者曰乡贡…… 其天子自诏者曰制举，所以待非常之才焉。”</w:t>
      </w:r>
      <w:r>
        <w:rPr>
          <w:rStyle w:val="14"/>
          <w:rFonts w:hint="eastAsia"/>
          <w:lang w:val="en-US" w:eastAsia="zh-CN"/>
        </w:rPr>
        <w:footnoteReference w:id="0"/>
      </w:r>
      <w:r>
        <w:rPr>
          <w:rFonts w:hint="eastAsia"/>
          <w:lang w:val="en-US" w:eastAsia="zh-CN"/>
        </w:rPr>
        <w:t>诚然，科举这一流传近一千三百年的人才选拔制度在中国古代历史上有着举足轻重的地位和历史意义，但是它仍有弊端。本文旨在通过唐科举中“明算科”这一切口，探究唐代科举制度中技术性知识边缘化这一问题，并对其背后的成因作些许思考。</w:t>
      </w:r>
    </w:p>
    <w:p w14:paraId="38A5F276">
      <w:pPr>
        <w:pStyle w:val="6"/>
        <w:numPr>
          <w:ilvl w:val="0"/>
          <w:numId w:val="1"/>
        </w:numPr>
        <w:bidi w:val="0"/>
        <w:rPr>
          <w:rFonts w:hint="eastAsia"/>
          <w:lang w:val="en-US" w:eastAsia="zh-CN"/>
        </w:rPr>
      </w:pPr>
      <w:r>
        <w:rPr>
          <w:rFonts w:hint="eastAsia"/>
          <w:lang w:val="en-US" w:eastAsia="zh-CN"/>
        </w:rPr>
        <w:t>唐代科举的基本形式</w:t>
      </w:r>
    </w:p>
    <w:p w14:paraId="33A01BD3">
      <w:pPr>
        <w:ind w:firstLine="420" w:firstLineChars="0"/>
        <w:rPr>
          <w:rFonts w:hint="eastAsia"/>
          <w:lang w:val="en-US" w:eastAsia="zh-CN"/>
        </w:rPr>
      </w:pPr>
      <w:r>
        <w:rPr>
          <w:rFonts w:hint="eastAsia"/>
          <w:lang w:val="en-US" w:eastAsia="zh-CN"/>
        </w:rPr>
        <w:t>唐代科举分为常举与制举两大体系。常举为常年定时开考的常规科目，固定每岁冬季开展，这在《唐六典》中有所记载：“凡举试之制，每岁仲冬，率与计偕。”</w:t>
      </w:r>
      <w:r>
        <w:rPr>
          <w:rStyle w:val="14"/>
          <w:rFonts w:hint="eastAsia"/>
          <w:lang w:val="en-US" w:eastAsia="zh-CN"/>
        </w:rPr>
        <w:footnoteReference w:id="1"/>
      </w:r>
      <w:r>
        <w:rPr>
          <w:rFonts w:hint="eastAsia"/>
          <w:lang w:val="en-US" w:eastAsia="zh-CN"/>
        </w:rPr>
        <w:t>各地应试士子随同计吏一同赶赴京师礼部参加统一考试。制举则无固定时限，由皇帝临时下诏特设科目，按需招揽特殊人才，这在《通典》中被记录为：“其制诏举人，不有常科，皆标其目而搜扬之。试之日，或在殿廷，天子亲临观之。”</w:t>
      </w:r>
      <w:r>
        <w:rPr>
          <w:rStyle w:val="14"/>
          <w:rFonts w:hint="eastAsia"/>
          <w:lang w:val="en-US" w:eastAsia="zh-CN"/>
        </w:rPr>
        <w:footnoteReference w:id="2"/>
      </w:r>
    </w:p>
    <w:p w14:paraId="0F66426E">
      <w:pPr>
        <w:numPr>
          <w:ilvl w:val="0"/>
          <w:numId w:val="0"/>
        </w:numPr>
        <w:ind w:firstLine="420" w:firstLineChars="0"/>
        <w:rPr>
          <w:rFonts w:hint="default"/>
          <w:lang w:val="en-US" w:eastAsia="zh-CN"/>
        </w:rPr>
      </w:pPr>
      <w:r>
        <w:rPr>
          <w:rFonts w:hint="default"/>
          <w:lang w:val="en-US" w:eastAsia="zh-CN"/>
        </w:rPr>
        <w:t>唐代</w:t>
      </w:r>
      <w:r>
        <w:rPr>
          <w:rFonts w:hint="eastAsia"/>
          <w:lang w:val="en-US" w:eastAsia="zh-CN"/>
        </w:rPr>
        <w:t>常举</w:t>
      </w:r>
      <w:r>
        <w:rPr>
          <w:rFonts w:hint="default"/>
          <w:lang w:val="en-US" w:eastAsia="zh-CN"/>
        </w:rPr>
        <w:t>在制度设计上形成了明确的分科体系，这一规制在唐代官方典籍中多有记</w:t>
      </w:r>
      <w:r>
        <w:rPr>
          <w:rFonts w:hint="eastAsia"/>
          <w:lang w:val="en-US" w:eastAsia="zh-CN"/>
        </w:rPr>
        <w:t>录</w:t>
      </w:r>
      <w:r>
        <w:rPr>
          <w:rFonts w:hint="default"/>
          <w:lang w:val="en-US" w:eastAsia="zh-CN"/>
        </w:rPr>
        <w:t>。</w:t>
      </w:r>
      <w:r>
        <w:rPr>
          <w:rFonts w:hint="eastAsia"/>
          <w:lang w:val="en-US" w:eastAsia="zh-CN"/>
        </w:rPr>
        <w:t>《唐六典》卷四中有载：“。凡举试之制，每岁仲冬，率与计偕。其科有六：一曰秀才，试方略策五条。此科取人稍峻，贞观已后遂绝。二曰明经，三曰进士，四曰明法，五曰书，六曰筭。”</w:t>
      </w:r>
      <w:r>
        <w:rPr>
          <w:rStyle w:val="14"/>
          <w:rFonts w:hint="eastAsia"/>
          <w:lang w:val="en-US" w:eastAsia="zh-CN"/>
        </w:rPr>
        <w:footnoteReference w:id="3"/>
      </w:r>
      <w:r>
        <w:rPr>
          <w:rFonts w:hint="eastAsia"/>
          <w:lang w:val="en-US" w:eastAsia="zh-CN"/>
        </w:rPr>
        <w:t>这证明了唐代常贡之科分为秀才、明经、进士、明法、书、算六类，制度基本承袭隋代旧制。而在这六科之中，明算科（筭）要求测试者“录大义本条为问答，明数造术，详明术理，然后为通”</w:t>
      </w:r>
      <w:r>
        <w:rPr>
          <w:rStyle w:val="14"/>
          <w:rFonts w:hint="eastAsia"/>
          <w:lang w:val="en-US" w:eastAsia="zh-CN"/>
        </w:rPr>
        <w:footnoteReference w:id="4"/>
      </w:r>
      <w:r>
        <w:rPr>
          <w:rFonts w:hint="eastAsia"/>
          <w:lang w:val="en-US" w:eastAsia="zh-CN"/>
        </w:rPr>
        <w:t>，是对于数理逻辑的考察。</w:t>
      </w:r>
    </w:p>
    <w:p w14:paraId="2C61D60C">
      <w:pPr>
        <w:pStyle w:val="6"/>
        <w:numPr>
          <w:ilvl w:val="0"/>
          <w:numId w:val="1"/>
        </w:numPr>
        <w:bidi w:val="0"/>
        <w:ind w:left="0" w:leftChars="0" w:firstLine="0" w:firstLineChars="0"/>
        <w:rPr>
          <w:lang w:val="en-US" w:eastAsia="zh-CN"/>
        </w:rPr>
      </w:pPr>
      <w:r>
        <w:rPr>
          <w:lang w:val="en-US" w:eastAsia="zh-CN"/>
        </w:rPr>
        <w:t>唐代科举技术知识的边缘化</w:t>
      </w:r>
    </w:p>
    <w:p w14:paraId="48F4A536">
      <w:pPr>
        <w:numPr>
          <w:ilvl w:val="0"/>
          <w:numId w:val="0"/>
        </w:numPr>
        <w:ind w:leftChars="0" w:firstLine="420" w:firstLineChars="0"/>
        <w:rPr>
          <w:rFonts w:hint="eastAsia"/>
          <w:lang w:val="en-US" w:eastAsia="zh-CN"/>
        </w:rPr>
      </w:pPr>
      <w:r>
        <w:rPr>
          <w:rFonts w:hint="eastAsia"/>
          <w:lang w:val="en-US" w:eastAsia="zh-CN"/>
        </w:rPr>
        <w:t>常举虽以“六科并行”构建了形式上的多元化选拔，但在实际的政策执行过程中，以明算科为代表的技术类科目却一直势微，与明经、进士科形成了鲜明的地位落差，明显被边缘化。而这样的边缘化的成因则主要来自于两个方面，分别为制度桎梏以及社会价值观的轻视。</w:t>
      </w:r>
    </w:p>
    <w:p w14:paraId="7584BDB5">
      <w:pPr>
        <w:pStyle w:val="8"/>
        <w:numPr>
          <w:ilvl w:val="0"/>
          <w:numId w:val="2"/>
        </w:numPr>
        <w:bidi w:val="0"/>
        <w:rPr>
          <w:rFonts w:hint="eastAsia"/>
          <w:lang w:val="en-US" w:eastAsia="zh-CN"/>
        </w:rPr>
      </w:pPr>
      <w:r>
        <w:rPr>
          <w:rFonts w:hint="default"/>
          <w:lang w:val="en-US" w:eastAsia="zh-CN"/>
        </w:rPr>
        <w:t>.</w:t>
      </w:r>
      <w:r>
        <w:rPr>
          <w:rFonts w:hint="eastAsia"/>
          <w:lang w:val="en-US" w:eastAsia="zh-CN"/>
        </w:rPr>
        <w:t>制度对于技术知识的桎梏</w:t>
      </w:r>
    </w:p>
    <w:p w14:paraId="40744746">
      <w:pPr>
        <w:numPr>
          <w:ilvl w:val="0"/>
          <w:numId w:val="0"/>
        </w:numPr>
        <w:ind w:firstLine="420" w:firstLineChars="0"/>
        <w:rPr>
          <w:rFonts w:hint="default"/>
          <w:lang w:val="en-US" w:eastAsia="zh-CN"/>
        </w:rPr>
      </w:pPr>
      <w:r>
        <w:rPr>
          <w:rFonts w:hint="eastAsia"/>
          <w:lang w:val="en-US" w:eastAsia="zh-CN"/>
        </w:rPr>
        <w:t>六科虽均属常举，但在录取名额上却有着很大的差异。唐代常举的录取名额分配中，“其进士大抵千人，得第者百一二，明经倍之，得第者十一二。”</w:t>
      </w:r>
      <w:r>
        <w:rPr>
          <w:rStyle w:val="14"/>
          <w:rFonts w:hint="eastAsia"/>
          <w:lang w:val="en-US" w:eastAsia="zh-CN"/>
        </w:rPr>
        <w:footnoteReference w:id="5"/>
      </w:r>
      <w:r>
        <w:rPr>
          <w:rFonts w:hint="eastAsia"/>
          <w:lang w:val="en-US" w:eastAsia="zh-CN"/>
        </w:rPr>
        <w:t>而在明算科的教育中，却是“算学博士二人，从九品下。学生三十人。”</w:t>
      </w:r>
      <w:r>
        <w:rPr>
          <w:rStyle w:val="14"/>
          <w:rFonts w:hint="eastAsia"/>
          <w:lang w:val="en-US" w:eastAsia="zh-CN"/>
        </w:rPr>
        <w:footnoteReference w:id="6"/>
      </w:r>
      <w:r>
        <w:rPr>
          <w:rFonts w:hint="eastAsia"/>
          <w:lang w:val="en-US" w:eastAsia="zh-CN"/>
        </w:rPr>
        <w:t>仅有学生三十人，两相对比，体现出了朝廷的录取政策对于明算科的忽视。而明算科出生的官员的仕途亦不明朗，正如《唐会要》中的记载：“谓秘书、殿中、太常、左春坊、太仆等伎术之官，唯得本司选转，不得外叙。”</w:t>
      </w:r>
      <w:r>
        <w:rPr>
          <w:rStyle w:val="14"/>
          <w:rFonts w:hint="eastAsia"/>
          <w:lang w:val="en-US" w:eastAsia="zh-CN"/>
        </w:rPr>
        <w:footnoteReference w:id="7"/>
      </w:r>
      <w:r>
        <w:rPr>
          <w:rFonts w:hint="eastAsia"/>
          <w:lang w:val="en-US" w:eastAsia="zh-CN"/>
        </w:rPr>
        <w:t>明算科出生的官员无法外调，不能到其他部门任职，这表现了在晋升政策上知识技术所受到的轻视。而同样的政策轻视在前文《旧唐书》的例子中也有体现，算学博士只是从九品下的官员，远远无法与传统经学体系中的博士品级相比。</w:t>
      </w:r>
    </w:p>
    <w:p w14:paraId="6754AE1F">
      <w:pPr>
        <w:pStyle w:val="8"/>
        <w:numPr>
          <w:ilvl w:val="0"/>
          <w:numId w:val="2"/>
        </w:numPr>
        <w:bidi w:val="0"/>
        <w:ind w:left="0" w:leftChars="0" w:firstLine="0" w:firstLineChars="0"/>
        <w:rPr>
          <w:rFonts w:hint="default"/>
          <w:lang w:val="en-US" w:eastAsia="zh-CN"/>
        </w:rPr>
      </w:pPr>
      <w:r>
        <w:rPr>
          <w:rFonts w:hint="default"/>
          <w:lang w:val="en-US" w:eastAsia="zh-CN"/>
        </w:rPr>
        <w:t>.</w:t>
      </w:r>
      <w:r>
        <w:rPr>
          <w:rFonts w:hint="eastAsia"/>
          <w:lang w:val="en-US" w:eastAsia="zh-CN"/>
        </w:rPr>
        <w:t>社会价值观对于技术知识的轻视</w:t>
      </w:r>
    </w:p>
    <w:p w14:paraId="238FE545">
      <w:pPr>
        <w:ind w:firstLine="420" w:firstLineChars="0"/>
        <w:rPr>
          <w:rFonts w:hint="eastAsia"/>
          <w:lang w:val="en-US" w:eastAsia="zh-CN"/>
        </w:rPr>
      </w:pPr>
      <w:r>
        <w:rPr>
          <w:rFonts w:hint="eastAsia"/>
          <w:lang w:val="en-US" w:eastAsia="zh-CN"/>
        </w:rPr>
        <w:t>朝廷对于明算科所代表的技术知识的轻视毫无疑问的影响到了社会价值取向对于技术知识的看法。在《通典》中有记录：“自是士族所趣向，唯明经、进士二科而已”</w:t>
      </w:r>
      <w:r>
        <w:rPr>
          <w:rStyle w:val="14"/>
          <w:rFonts w:hint="eastAsia"/>
          <w:lang w:val="en-US" w:eastAsia="zh-CN"/>
        </w:rPr>
        <w:footnoteReference w:id="8"/>
      </w:r>
      <w:r>
        <w:rPr>
          <w:rFonts w:hint="eastAsia"/>
          <w:lang w:val="en-US" w:eastAsia="zh-CN"/>
        </w:rPr>
        <w:t>士族只在意明经、进士两科，而明算科则是下等官吏和庶民子弟所学，“筭学博士，掌教文武官八品已下及庶人子之为生者，二分其经以为之业。”</w:t>
      </w:r>
      <w:r>
        <w:rPr>
          <w:rStyle w:val="14"/>
          <w:rFonts w:hint="eastAsia"/>
          <w:lang w:val="en-US" w:eastAsia="zh-CN"/>
        </w:rPr>
        <w:footnoteReference w:id="9"/>
      </w:r>
      <w:r>
        <w:rPr>
          <w:rFonts w:hint="eastAsia"/>
          <w:lang w:val="en-US" w:eastAsia="zh-CN"/>
        </w:rPr>
        <w:t>这样的社会价值取向使得以明算科为代表的技术知识长期处在被忽视的地位，得不到发展。</w:t>
      </w:r>
    </w:p>
    <w:p w14:paraId="08CF1AB0">
      <w:pPr>
        <w:pStyle w:val="6"/>
        <w:numPr>
          <w:ilvl w:val="0"/>
          <w:numId w:val="1"/>
        </w:numPr>
        <w:bidi w:val="0"/>
        <w:ind w:left="0" w:leftChars="0" w:firstLine="0" w:firstLineChars="0"/>
        <w:rPr>
          <w:rFonts w:hint="default"/>
          <w:lang w:val="en-US" w:eastAsia="zh-CN"/>
        </w:rPr>
      </w:pPr>
      <w:r>
        <w:rPr>
          <w:rFonts w:hint="eastAsia"/>
          <w:lang w:val="en-US" w:eastAsia="zh-CN"/>
        </w:rPr>
        <w:t>对技术性知识边缘化到知识偏向</w:t>
      </w:r>
    </w:p>
    <w:p w14:paraId="654CAAD1">
      <w:pPr>
        <w:bidi w:val="0"/>
        <w:ind w:firstLine="420" w:firstLineChars="0"/>
        <w:rPr>
          <w:rFonts w:hint="eastAsia"/>
          <w:lang w:val="en-US" w:eastAsia="zh-CN"/>
        </w:rPr>
      </w:pPr>
      <w:r>
        <w:t>从明算科遇冷可以窥见中国历史中一种长期存在的知识偏向。这种知识偏向在不同历史阶段虽然可能以不同形式表现出来，其本质</w:t>
      </w:r>
      <w:r>
        <w:rPr>
          <w:rFonts w:hint="eastAsia"/>
          <w:lang w:val="en-US" w:eastAsia="zh-CN"/>
        </w:rPr>
        <w:t>却</w:t>
      </w:r>
      <w:r>
        <w:t>在某种程度上反映了选拔规则制定者对于不同知识</w:t>
      </w:r>
      <w:r>
        <w:rPr>
          <w:rFonts w:hint="eastAsia"/>
          <w:lang w:val="en-US" w:eastAsia="zh-CN"/>
        </w:rPr>
        <w:t>之</w:t>
      </w:r>
      <w:r>
        <w:t>意义的排序，从而在制度运行中形成对特定知识类型的</w:t>
      </w:r>
      <w:r>
        <w:rPr>
          <w:rFonts w:hint="eastAsia"/>
          <w:lang w:val="en-US" w:eastAsia="zh-CN"/>
        </w:rPr>
        <w:t>资源和人才的</w:t>
      </w:r>
      <w:r>
        <w:t>倾斜。</w:t>
      </w:r>
      <w:r>
        <w:rPr>
          <w:rFonts w:hint="eastAsia"/>
          <w:lang w:val="en-US" w:eastAsia="zh-CN"/>
        </w:rPr>
        <w:t>唐代科举旨在为文官体系提供治理人才，以如此的目的为导向，自然的会产生对于技术性知识这类无法直接为治理提供帮助的知识的轻视。而制度上的轻视则会进一步影响社会价值观的形成。</w:t>
      </w:r>
    </w:p>
    <w:p w14:paraId="3151D185">
      <w:pPr>
        <w:bidi w:val="0"/>
        <w:ind w:firstLine="420" w:firstLineChars="0"/>
        <w:rPr>
          <w:rFonts w:hint="eastAsia"/>
          <w:lang w:val="en-US" w:eastAsia="zh-CN"/>
        </w:rPr>
      </w:pPr>
      <w:r>
        <w:rPr>
          <w:rFonts w:hint="eastAsia"/>
          <w:lang w:val="en-US" w:eastAsia="zh-CN"/>
        </w:rPr>
        <w:t>这样的知识偏向存在相当的局限性。首先，这样的偏向极大程度上的造成了知识体系的单元化。被偏向的知识在制度和价值观的支撑下快速发展，但未得到偏向的知识却缺少资源和人才的投入，发展缓慢甚至停滞不前。其次，对于被偏向的知识而言，这样被评价方式裹挟的发展会存在反馈机制——即这样的评价方式会反向塑造知识本身，使得知识愈发的倾向于适应评价体系的要求。这使得在被偏向的知识内部也会存在向评价标准“收敛”的问题。</w:t>
      </w:r>
    </w:p>
    <w:p w14:paraId="58898554">
      <w:pPr>
        <w:bidi w:val="0"/>
        <w:ind w:firstLine="420" w:firstLineChars="0"/>
        <w:rPr>
          <w:rFonts w:hint="eastAsia"/>
          <w:lang w:val="en-US" w:eastAsia="zh-CN"/>
        </w:rPr>
      </w:pPr>
      <w:r>
        <w:rPr>
          <w:rFonts w:hint="eastAsia"/>
          <w:lang w:val="en-US" w:eastAsia="zh-CN"/>
        </w:rPr>
        <w:t>但知识偏向始终没有办法根除。在宏观上，无论在什么情况下都需要选拔制度，任何形式的选拔都必须有相应的标准，而标准就会不可避免的带来对知识的偏向。因此，知识偏向并非某一历史阶段的制度缺陷，而是一个普适的问题。真正值得思考的问题是如何尽可能的减轻知识偏向的问题。</w:t>
      </w:r>
    </w:p>
    <w:p w14:paraId="3A61CEF4">
      <w:pPr>
        <w:pStyle w:val="6"/>
        <w:numPr>
          <w:ilvl w:val="0"/>
          <w:numId w:val="1"/>
        </w:numPr>
        <w:bidi w:val="0"/>
        <w:ind w:left="0" w:leftChars="0" w:firstLine="0" w:firstLineChars="0"/>
        <w:rPr>
          <w:rFonts w:hint="default"/>
          <w:lang w:val="en-US" w:eastAsia="zh-CN"/>
        </w:rPr>
      </w:pPr>
      <w:r>
        <w:rPr>
          <w:rFonts w:hint="eastAsia"/>
          <w:lang w:val="en-US" w:eastAsia="zh-CN"/>
        </w:rPr>
        <w:t>总结与反思</w:t>
      </w:r>
    </w:p>
    <w:p w14:paraId="15ACBC2E">
      <w:pPr>
        <w:bidi w:val="0"/>
        <w:ind w:firstLine="420" w:firstLineChars="0"/>
        <w:rPr>
          <w:rFonts w:hint="default"/>
          <w:lang w:val="en-US" w:eastAsia="zh-CN"/>
        </w:rPr>
      </w:pPr>
      <w:r>
        <w:rPr>
          <w:rFonts w:hint="eastAsia"/>
          <w:lang w:val="en-US" w:eastAsia="zh-CN"/>
        </w:rPr>
        <w:t>通过对明算科的分析可以发现，所谓“知识偏向”并不只是某一类知识在某一个特定制度中受到影响，而是评价体系本身在发挥作用的过程中对不同种类知识进行选择和排序的结果。正如明算科的处境，不同类型的知识在发展过程中往往会出现不均衡的情况，有的不断被强化，有的则逐渐被边缘化。面对这样的问题，尽可能的让评价体系多元化，才是克服知识偏向</w:t>
      </w:r>
      <w:bookmarkStart w:id="0" w:name="_GoBack"/>
      <w:bookmarkEnd w:id="0"/>
      <w:r>
        <w:rPr>
          <w:rFonts w:hint="eastAsia"/>
          <w:lang w:val="en-US" w:eastAsia="zh-CN"/>
        </w:rPr>
        <w:t>的良方。</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0">
    <w:p>
      <w:r>
        <w:separator/>
      </w:r>
    </w:p>
  </w:footnote>
  <w:footnote w:type="continuationSeparator" w:id="21">
    <w:p>
      <w:r>
        <w:continuationSeparator/>
      </w:r>
    </w:p>
  </w:footnote>
  <w:footnote w:id="0">
    <w:p w14:paraId="41395AE5">
      <w:pPr>
        <w:pStyle w:val="9"/>
        <w:snapToGrid w:val="0"/>
      </w:pPr>
      <w:r>
        <w:rPr>
          <w:rStyle w:val="14"/>
        </w:rPr>
        <w:footnoteRef/>
      </w:r>
      <w:r>
        <w:t xml:space="preserve"> </w:t>
      </w:r>
      <w:r>
        <w:rPr>
          <w:rFonts w:hint="eastAsia"/>
        </w:rPr>
        <w:t>[宋] 欧阳修，宋祁。</w:t>
      </w:r>
      <w:r>
        <w:rPr>
          <w:rFonts w:hint="eastAsia"/>
          <w:lang w:eastAsia="zh-CN"/>
        </w:rPr>
        <w:t>《</w:t>
      </w:r>
      <w:r>
        <w:rPr>
          <w:rFonts w:hint="eastAsia"/>
        </w:rPr>
        <w:t>新唐书</w:t>
      </w:r>
      <w:r>
        <w:rPr>
          <w:rFonts w:hint="eastAsia"/>
          <w:lang w:eastAsia="zh-CN"/>
        </w:rPr>
        <w:t>》：</w:t>
      </w:r>
      <w:r>
        <w:rPr>
          <w:rFonts w:hint="eastAsia"/>
        </w:rPr>
        <w:t>卷四十四·志第三十四·选举志上</w:t>
      </w:r>
    </w:p>
  </w:footnote>
  <w:footnote w:id="1">
    <w:p w14:paraId="0829A617">
      <w:pPr>
        <w:pStyle w:val="9"/>
        <w:snapToGrid w:val="0"/>
      </w:pPr>
      <w:r>
        <w:rPr>
          <w:rStyle w:val="14"/>
        </w:rPr>
        <w:footnoteRef/>
      </w:r>
      <w:r>
        <w:t xml:space="preserve"> </w:t>
      </w:r>
      <w:r>
        <w:rPr>
          <w:rFonts w:hint="eastAsia"/>
        </w:rPr>
        <w:t>[唐] 张九龄等撰。《唐六典》：卷四·礼部尚书</w:t>
      </w:r>
    </w:p>
  </w:footnote>
  <w:footnote w:id="2">
    <w:p w14:paraId="457B75BB">
      <w:pPr>
        <w:pStyle w:val="9"/>
        <w:snapToGrid w:val="0"/>
        <w:rPr>
          <w:rFonts w:hint="default" w:eastAsiaTheme="minorEastAsia"/>
          <w:lang w:val="en-US" w:eastAsia="zh-CN"/>
        </w:rPr>
      </w:pPr>
      <w:r>
        <w:rPr>
          <w:rStyle w:val="14"/>
        </w:rPr>
        <w:footnoteRef/>
      </w:r>
      <w:r>
        <w:t xml:space="preserve"> </w:t>
      </w:r>
      <w:r>
        <w:rPr>
          <w:rFonts w:hint="default"/>
          <w:lang w:val="en-US"/>
        </w:rPr>
        <w:t>[</w:t>
      </w:r>
      <w:r>
        <w:rPr>
          <w:rFonts w:hint="eastAsia"/>
          <w:lang w:val="en-US" w:eastAsia="zh-CN"/>
        </w:rPr>
        <w:t>唐</w:t>
      </w:r>
      <w:r>
        <w:rPr>
          <w:rFonts w:hint="default"/>
          <w:lang w:val="en-US"/>
        </w:rPr>
        <w:t>]</w:t>
      </w:r>
      <w:r>
        <w:rPr>
          <w:rFonts w:hint="eastAsia"/>
          <w:lang w:val="en-US" w:eastAsia="zh-CN"/>
        </w:rPr>
        <w:t xml:space="preserve"> 杜佑。《通典》：卷十五·选举三</w:t>
      </w:r>
    </w:p>
  </w:footnote>
  <w:footnote w:id="3">
    <w:p w14:paraId="51402CEA">
      <w:pPr>
        <w:pStyle w:val="9"/>
        <w:snapToGrid w:val="0"/>
      </w:pPr>
      <w:r>
        <w:rPr>
          <w:rStyle w:val="14"/>
        </w:rPr>
        <w:footnoteRef/>
      </w:r>
      <w:r>
        <w:t xml:space="preserve"> </w:t>
      </w:r>
      <w:r>
        <w:rPr>
          <w:rFonts w:hint="default"/>
          <w:lang w:val="en-US"/>
        </w:rPr>
        <w:t>[</w:t>
      </w:r>
      <w:r>
        <w:rPr>
          <w:rFonts w:hint="eastAsia"/>
        </w:rPr>
        <w:t>唐</w:t>
      </w:r>
      <w:r>
        <w:rPr>
          <w:rFonts w:hint="default"/>
          <w:lang w:val="en-US"/>
        </w:rPr>
        <w:t xml:space="preserve">] </w:t>
      </w:r>
      <w:r>
        <w:rPr>
          <w:rFonts w:hint="eastAsia"/>
        </w:rPr>
        <w:t>张九龄等撰</w:t>
      </w:r>
      <w:r>
        <w:rPr>
          <w:rFonts w:hint="eastAsia"/>
          <w:lang w:eastAsia="zh-CN"/>
        </w:rPr>
        <w:t>。《</w:t>
      </w:r>
      <w:r>
        <w:rPr>
          <w:rFonts w:hint="eastAsia"/>
        </w:rPr>
        <w:t>唐六典</w:t>
      </w:r>
      <w:r>
        <w:rPr>
          <w:rFonts w:hint="eastAsia"/>
          <w:lang w:eastAsia="zh-CN"/>
        </w:rPr>
        <w:t>》：</w:t>
      </w:r>
      <w:r>
        <w:rPr>
          <w:rFonts w:hint="eastAsia"/>
        </w:rPr>
        <w:t>卷四</w:t>
      </w:r>
      <w:r>
        <w:rPr>
          <w:rFonts w:hint="eastAsia"/>
          <w:lang w:val="en-US" w:eastAsia="zh-CN"/>
        </w:rPr>
        <w:t>·礼部尚书</w:t>
      </w:r>
    </w:p>
  </w:footnote>
  <w:footnote w:id="4">
    <w:p w14:paraId="312CB72A">
      <w:pPr>
        <w:pStyle w:val="9"/>
        <w:snapToGrid w:val="0"/>
        <w:rPr>
          <w:rFonts w:hint="default" w:eastAsiaTheme="minorEastAsia"/>
          <w:lang w:val="en-US" w:eastAsia="zh-CN"/>
        </w:rPr>
      </w:pPr>
      <w:r>
        <w:rPr>
          <w:rStyle w:val="14"/>
        </w:rPr>
        <w:footnoteRef/>
      </w:r>
      <w:r>
        <w:t xml:space="preserve"> </w:t>
      </w:r>
      <w:r>
        <w:rPr>
          <w:rFonts w:hint="eastAsia"/>
        </w:rPr>
        <w:t>[明] 唐顺之编</w:t>
      </w:r>
      <w:r>
        <w:rPr>
          <w:rFonts w:hint="eastAsia"/>
          <w:lang w:eastAsia="zh-CN"/>
        </w:rPr>
        <w:t>。《荆川稗编》：</w:t>
      </w:r>
      <w:r>
        <w:rPr>
          <w:rFonts w:hint="eastAsia"/>
          <w:lang w:val="en-US" w:eastAsia="zh-CN"/>
        </w:rPr>
        <w:t>唐取士之科</w:t>
      </w:r>
    </w:p>
  </w:footnote>
  <w:footnote w:id="5">
    <w:p w14:paraId="7CA5312E">
      <w:pPr>
        <w:pStyle w:val="9"/>
        <w:snapToGrid w:val="0"/>
        <w:rPr>
          <w:rFonts w:hint="eastAsia" w:eastAsiaTheme="minorEastAsia"/>
          <w:lang w:eastAsia="zh-CN"/>
        </w:rPr>
      </w:pPr>
      <w:r>
        <w:rPr>
          <w:rStyle w:val="14"/>
        </w:rPr>
        <w:footnoteRef/>
      </w:r>
      <w:r>
        <w:t xml:space="preserve"> </w:t>
      </w:r>
      <w:r>
        <w:rPr>
          <w:rFonts w:hint="eastAsia"/>
        </w:rPr>
        <w:t>[清] 陈梦雷撰</w:t>
      </w:r>
      <w:r>
        <w:rPr>
          <w:rFonts w:hint="eastAsia"/>
          <w:lang w:eastAsia="zh-CN"/>
        </w:rPr>
        <w:t>。《古今图书集成》：选举典</w:t>
      </w:r>
    </w:p>
  </w:footnote>
  <w:footnote w:id="6">
    <w:p w14:paraId="2EA4BCA0">
      <w:pPr>
        <w:pStyle w:val="9"/>
        <w:snapToGrid w:val="0"/>
        <w:rPr>
          <w:rFonts w:hint="default" w:eastAsiaTheme="minorEastAsia"/>
          <w:lang w:val="en-US" w:eastAsia="zh-CN"/>
        </w:rPr>
      </w:pPr>
      <w:r>
        <w:rPr>
          <w:rStyle w:val="14"/>
        </w:rPr>
        <w:footnoteRef/>
      </w:r>
      <w:r>
        <w:t xml:space="preserve"> </w:t>
      </w:r>
      <w:r>
        <w:rPr>
          <w:rFonts w:hint="eastAsia"/>
        </w:rPr>
        <w:t>[五代] 刘昫撰</w:t>
      </w:r>
      <w:r>
        <w:rPr>
          <w:rFonts w:hint="eastAsia"/>
          <w:lang w:eastAsia="zh-CN"/>
        </w:rPr>
        <w:t>。《旧唐书》：</w:t>
      </w:r>
      <w:r>
        <w:rPr>
          <w:rFonts w:hint="eastAsia"/>
          <w:lang w:val="en-US" w:eastAsia="zh-CN"/>
        </w:rPr>
        <w:t>卷四十四</w:t>
      </w:r>
    </w:p>
  </w:footnote>
  <w:footnote w:id="7">
    <w:p w14:paraId="39747470">
      <w:pPr>
        <w:pStyle w:val="9"/>
        <w:snapToGrid w:val="0"/>
        <w:rPr>
          <w:rFonts w:hint="default" w:eastAsiaTheme="minorEastAsia"/>
          <w:lang w:val="en-US" w:eastAsia="zh-CN"/>
        </w:rPr>
      </w:pPr>
      <w:r>
        <w:rPr>
          <w:rStyle w:val="14"/>
        </w:rPr>
        <w:footnoteRef/>
      </w:r>
      <w:r>
        <w:t xml:space="preserve"> </w:t>
      </w:r>
      <w:r>
        <w:rPr>
          <w:rFonts w:hint="eastAsia"/>
        </w:rPr>
        <w:t>[宋] 王溥撰</w:t>
      </w:r>
      <w:r>
        <w:rPr>
          <w:rFonts w:hint="eastAsia"/>
          <w:lang w:eastAsia="zh-CN"/>
        </w:rPr>
        <w:t>。《唐会要》：</w:t>
      </w:r>
      <w:r>
        <w:rPr>
          <w:rFonts w:hint="eastAsia"/>
          <w:lang w:val="en-US" w:eastAsia="zh-CN"/>
        </w:rPr>
        <w:t>卷六十七</w:t>
      </w:r>
    </w:p>
  </w:footnote>
  <w:footnote w:id="8">
    <w:p w14:paraId="3C1B4CC5">
      <w:pPr>
        <w:pStyle w:val="9"/>
        <w:snapToGrid w:val="0"/>
      </w:pPr>
      <w:r>
        <w:rPr>
          <w:rStyle w:val="14"/>
        </w:rPr>
        <w:footnoteRef/>
      </w:r>
      <w:r>
        <w:t xml:space="preserve"> </w:t>
      </w:r>
      <w:r>
        <w:rPr>
          <w:rFonts w:hint="default"/>
          <w:lang w:val="en-US"/>
        </w:rPr>
        <w:t>[</w:t>
      </w:r>
      <w:r>
        <w:rPr>
          <w:rFonts w:hint="eastAsia"/>
          <w:lang w:val="en-US" w:eastAsia="zh-CN"/>
        </w:rPr>
        <w:t>唐</w:t>
      </w:r>
      <w:r>
        <w:rPr>
          <w:rFonts w:hint="default"/>
          <w:lang w:val="en-US"/>
        </w:rPr>
        <w:t>]</w:t>
      </w:r>
      <w:r>
        <w:rPr>
          <w:rFonts w:hint="eastAsia"/>
          <w:lang w:val="en-US" w:eastAsia="zh-CN"/>
        </w:rPr>
        <w:t xml:space="preserve"> 杜佑。《通典》：卷十五·选举三</w:t>
      </w:r>
    </w:p>
  </w:footnote>
  <w:footnote w:id="9">
    <w:p w14:paraId="363B1C10">
      <w:pPr>
        <w:pStyle w:val="9"/>
        <w:snapToGrid w:val="0"/>
      </w:pPr>
      <w:r>
        <w:rPr>
          <w:rStyle w:val="14"/>
        </w:rPr>
        <w:footnoteRef/>
      </w:r>
      <w:r>
        <w:t xml:space="preserve"> </w:t>
      </w:r>
      <w:r>
        <w:rPr>
          <w:rFonts w:hint="default"/>
          <w:lang w:val="en-US"/>
        </w:rPr>
        <w:t>[</w:t>
      </w:r>
      <w:r>
        <w:rPr>
          <w:rFonts w:hint="eastAsia"/>
        </w:rPr>
        <w:t>唐</w:t>
      </w:r>
      <w:r>
        <w:rPr>
          <w:rFonts w:hint="default"/>
          <w:lang w:val="en-US"/>
        </w:rPr>
        <w:t xml:space="preserve">] </w:t>
      </w:r>
      <w:r>
        <w:rPr>
          <w:rFonts w:hint="eastAsia"/>
        </w:rPr>
        <w:t>张九龄等撰</w:t>
      </w:r>
      <w:r>
        <w:rPr>
          <w:rFonts w:hint="eastAsia"/>
          <w:lang w:eastAsia="zh-CN"/>
        </w:rPr>
        <w:t>。《</w:t>
      </w:r>
      <w:r>
        <w:rPr>
          <w:rFonts w:hint="eastAsia"/>
        </w:rPr>
        <w:t>唐六典</w:t>
      </w:r>
      <w:r>
        <w:rPr>
          <w:rFonts w:hint="eastAsia"/>
          <w:lang w:eastAsia="zh-CN"/>
        </w:rPr>
        <w:t>》：</w:t>
      </w:r>
      <w:r>
        <w:rPr>
          <w:rFonts w:hint="eastAsia"/>
        </w:rPr>
        <w:t>卷</w:t>
      </w:r>
      <w:r>
        <w:rPr>
          <w:rFonts w:hint="eastAsia"/>
          <w:lang w:val="en-US" w:eastAsia="zh-CN"/>
        </w:rPr>
        <w:t>二十一·国子监</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B7F75C3"/>
    <w:multiLevelType w:val="singleLevel"/>
    <w:tmpl w:val="FB7F75C3"/>
    <w:lvl w:ilvl="0" w:tentative="0">
      <w:start w:val="2"/>
      <w:numFmt w:val="chineseCounting"/>
      <w:suff w:val="nothing"/>
      <w:lvlText w:val="%1．"/>
      <w:lvlJc w:val="left"/>
      <w:rPr>
        <w:rFonts w:hint="eastAsia"/>
      </w:rPr>
    </w:lvl>
  </w:abstractNum>
  <w:abstractNum w:abstractNumId="1">
    <w:nsid w:val="5FCB149D"/>
    <w:multiLevelType w:val="singleLevel"/>
    <w:tmpl w:val="5FCB149D"/>
    <w:lvl w:ilvl="0" w:tentative="0">
      <w:start w:val="1"/>
      <w:numFmt w:val="chineseCounting"/>
      <w:suff w:val="nothing"/>
      <w:lvlText w:val="（%1）"/>
      <w:lvlJc w:val="left"/>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20"/>
    <w:footnote w:id="21"/>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8FBF977"/>
    <w:rsid w:val="1FF10293"/>
    <w:rsid w:val="38FBF977"/>
    <w:rsid w:val="A6F3DD05"/>
    <w:rsid w:val="D7BF7363"/>
    <w:rsid w:val="ED5945F5"/>
    <w:rsid w:val="FD7562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3">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4">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paragraph" w:styleId="5">
    <w:name w:val="heading 6"/>
    <w:basedOn w:val="1"/>
    <w:next w:val="1"/>
    <w:unhideWhenUsed/>
    <w:qFormat/>
    <w:uiPriority w:val="0"/>
    <w:pPr>
      <w:keepNext/>
      <w:keepLines/>
      <w:spacing w:before="240" w:beforeLines="0" w:beforeAutospacing="0" w:after="64" w:afterLines="0" w:afterAutospacing="0" w:line="317" w:lineRule="auto"/>
      <w:outlineLvl w:val="5"/>
    </w:pPr>
    <w:rPr>
      <w:rFonts w:ascii="Arial" w:hAnsi="Arial" w:eastAsia="黑体"/>
      <w:b/>
      <w:sz w:val="24"/>
    </w:rPr>
  </w:style>
  <w:style w:type="paragraph" w:styleId="6">
    <w:name w:val="heading 7"/>
    <w:basedOn w:val="1"/>
    <w:next w:val="1"/>
    <w:unhideWhenUsed/>
    <w:qFormat/>
    <w:uiPriority w:val="0"/>
    <w:pPr>
      <w:keepNext/>
      <w:keepLines/>
      <w:spacing w:before="240" w:beforeLines="0" w:beforeAutospacing="0" w:after="64" w:afterLines="0" w:afterAutospacing="0" w:line="317" w:lineRule="auto"/>
      <w:outlineLvl w:val="6"/>
    </w:pPr>
    <w:rPr>
      <w:b/>
      <w:sz w:val="24"/>
    </w:rPr>
  </w:style>
  <w:style w:type="paragraph" w:styleId="7">
    <w:name w:val="heading 8"/>
    <w:basedOn w:val="1"/>
    <w:next w:val="1"/>
    <w:unhideWhenUsed/>
    <w:qFormat/>
    <w:uiPriority w:val="0"/>
    <w:pPr>
      <w:keepNext/>
      <w:keepLines/>
      <w:spacing w:before="240" w:beforeLines="0" w:beforeAutospacing="0" w:after="64" w:afterLines="0" w:afterAutospacing="0" w:line="317" w:lineRule="auto"/>
      <w:outlineLvl w:val="7"/>
    </w:pPr>
    <w:rPr>
      <w:rFonts w:ascii="Arial" w:hAnsi="Arial" w:eastAsia="黑体"/>
      <w:sz w:val="24"/>
    </w:rPr>
  </w:style>
  <w:style w:type="paragraph" w:styleId="8">
    <w:name w:val="heading 9"/>
    <w:basedOn w:val="1"/>
    <w:next w:val="1"/>
    <w:unhideWhenUsed/>
    <w:qFormat/>
    <w:uiPriority w:val="0"/>
    <w:pPr>
      <w:keepNext/>
      <w:keepLines/>
      <w:spacing w:before="240" w:beforeLines="0" w:beforeAutospacing="0" w:after="64" w:afterLines="0" w:afterAutospacing="0" w:line="317" w:lineRule="auto"/>
      <w:outlineLvl w:val="8"/>
    </w:pPr>
    <w:rPr>
      <w:rFonts w:ascii="Arial" w:hAnsi="Arial" w:eastAsia="黑体"/>
      <w:sz w:val="21"/>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9">
    <w:name w:val="footnote text"/>
    <w:basedOn w:val="1"/>
    <w:uiPriority w:val="0"/>
    <w:pPr>
      <w:snapToGrid w:val="0"/>
      <w:jc w:val="left"/>
    </w:pPr>
    <w:rPr>
      <w:sz w:val="18"/>
    </w:rPr>
  </w:style>
  <w:style w:type="paragraph" w:styleId="10">
    <w:name w:val="Normal (Web)"/>
    <w:basedOn w:val="1"/>
    <w:uiPriority w:val="0"/>
    <w:rPr>
      <w:sz w:val="24"/>
    </w:rPr>
  </w:style>
  <w:style w:type="character" w:styleId="13">
    <w:name w:val="Strong"/>
    <w:basedOn w:val="12"/>
    <w:qFormat/>
    <w:uiPriority w:val="0"/>
    <w:rPr>
      <w:b/>
    </w:rPr>
  </w:style>
  <w:style w:type="character" w:styleId="14">
    <w:name w:val="footnote reference"/>
    <w:basedOn w:val="12"/>
    <w:uiPriority w:val="0"/>
    <w:rPr>
      <w:vertAlign w:val="superscript"/>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141</TotalTime>
  <ScaleCrop>false</ScaleCrop>
  <LinksUpToDate>false</LinksUpToDate>
  <CharactersWithSpaces>0</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2026-06-12T02:27:00Z</dcterms:created>
  <dc:creator>李忱昊</dc:creator>
  <cp:lastModifiedBy>李忱昊</cp:lastModifiedBy>
  <dcterms:modified xsi:type="dcterms:W3CDTF">2026-06-15T19:31:40Z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11813530326A2AEDD2B92A6ACE4028BC_43</vt:lpwstr>
  </property>
</Properties>
</file>