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34E40">
      <w:pPr>
        <w:spacing w:before="0" w:after="160" w:line="240" w:lineRule="auto"/>
        <w:ind w:firstLine="0"/>
        <w:jc w:val="center"/>
      </w:pPr>
      <w:r>
        <w:rPr>
          <w:rFonts w:ascii="宋体" w:hAnsi="宋体" w:eastAsia="宋体"/>
          <w:b/>
          <w:color w:val="000000"/>
          <w:sz w:val="40"/>
        </w:rPr>
        <w:t>社会实践基地案头调研报告</w:t>
      </w:r>
    </w:p>
    <w:p w14:paraId="28BCE315">
      <w:pPr>
        <w:spacing w:after="240" w:line="240" w:lineRule="auto"/>
        <w:ind w:firstLine="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姓名：</w:t>
      </w:r>
      <w:r>
        <w:rPr>
          <w:rFonts w:hint="eastAsia" w:ascii="宋体" w:hAnsi="宋体" w:eastAsia="宋体"/>
          <w:b w:val="0"/>
          <w:color w:val="000000"/>
          <w:sz w:val="24"/>
          <w:lang w:val="en-US" w:eastAsia="zh-CN"/>
        </w:rPr>
        <w:t>李忱昊 2025531083 广西百色</w:t>
      </w:r>
    </w:p>
    <w:p w14:paraId="2D8F6BB8">
      <w:pPr>
        <w:pStyle w:val="3"/>
        <w:keepNext/>
        <w:pageBreakBefore w:val="0"/>
        <w:spacing w:line="240" w:lineRule="auto"/>
        <w:ind w:firstLine="0"/>
        <w:jc w:val="left"/>
      </w:pPr>
      <w:r>
        <w:rPr>
          <w:rFonts w:ascii="宋体" w:hAnsi="宋体" w:eastAsia="宋体"/>
          <w:b/>
          <w:color w:val="000000"/>
          <w:sz w:val="32"/>
        </w:rPr>
        <w:t>一、基地所在地区基本概况</w:t>
      </w:r>
    </w:p>
    <w:p w14:paraId="518123CB">
      <w:pPr>
        <w:pStyle w:val="4"/>
        <w:keepNext/>
        <w:pageBreakBefore w:val="0"/>
        <w:spacing w:line="240" w:lineRule="auto"/>
        <w:ind w:firstLine="0"/>
        <w:jc w:val="left"/>
      </w:pPr>
      <w:r>
        <w:rPr>
          <w:rFonts w:ascii="宋体" w:hAnsi="宋体" w:eastAsia="宋体"/>
          <w:b/>
          <w:color w:val="000000"/>
          <w:sz w:val="26"/>
        </w:rPr>
        <w:t>（一）行政区划与地理位置</w:t>
      </w:r>
    </w:p>
    <w:p w14:paraId="54B9BCE0">
      <w:pPr>
        <w:keepNext w:val="0"/>
        <w:keepLines w:val="0"/>
        <w:widowControl/>
        <w:spacing w:before="0" w:after="120" w:line="240" w:lineRule="auto"/>
        <w:jc w:val="both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百色市，广西壮族自治区辖地级市，位于广西壮族自治区西部，右江上游，西与云南省文山州相接，北与贵州省黔西南州毗邻，东与广西壮族自治区首府南宁市紧连，南与越南接壤；地形为南北高中间低，地势走向由西北向东南倾斜，属亚热带季风气候，总面积3.63万平方千米。截至2025年3月，百色市辖2个区、8个县，代管2个县级市。</w:t>
      </w:r>
      <w:r>
        <w:rPr>
          <w:rStyle w:val="136"/>
          <w:rFonts w:hint="eastAsia" w:ascii="宋体" w:hAnsi="宋体" w:eastAsia="宋体"/>
          <w:b w:val="0"/>
          <w:bCs/>
          <w:color w:val="000000"/>
          <w:sz w:val="24"/>
        </w:rPr>
        <w:footnoteReference w:id="0"/>
      </w:r>
    </w:p>
    <w:p w14:paraId="377B539B">
      <w:pPr>
        <w:pStyle w:val="4"/>
        <w:keepNext/>
        <w:pageBreakBefore w:val="0"/>
        <w:spacing w:line="240" w:lineRule="auto"/>
        <w:ind w:firstLine="0"/>
        <w:jc w:val="left"/>
      </w:pPr>
      <w:r>
        <w:rPr>
          <w:rFonts w:ascii="宋体" w:hAnsi="宋体" w:eastAsia="宋体"/>
          <w:b/>
          <w:color w:val="000000"/>
          <w:sz w:val="26"/>
        </w:rPr>
        <w:t>（二）人口规模与人口结构</w:t>
      </w:r>
    </w:p>
    <w:p w14:paraId="6F7B6F30">
      <w:pPr>
        <w:keepNext w:val="0"/>
        <w:keepLines w:val="0"/>
        <w:widowControl/>
        <w:spacing w:before="0" w:after="120" w:line="240" w:lineRule="auto"/>
        <w:jc w:val="both"/>
        <w:rPr>
          <w:rFonts w:hint="eastAsia"/>
          <w:b/>
          <w:bCs/>
        </w:rPr>
      </w:pPr>
      <w:r>
        <w:rPr>
          <w:rFonts w:hint="eastAsia" w:ascii="宋体" w:hAnsi="宋体"/>
          <w:b w:val="0"/>
          <w:bCs/>
          <w:color w:val="00000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民族人口</w:t>
      </w:r>
      <w:r>
        <w:rPr>
          <w:rFonts w:hint="eastAsia" w:ascii="宋体" w:hAnsi="宋体" w:eastAsia="宋体"/>
          <w:b w:val="0"/>
          <w:bCs/>
          <w:color w:val="000000"/>
          <w:sz w:val="24"/>
          <w:lang w:eastAsia="zh-CN"/>
        </w:rPr>
        <w:t>：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全市常住人口中，汉族人口为588273人，占16.47%；各少数民族人口为2983232人，占83.53%，其中壮族人口为2676720人，占74.95%。</w:t>
      </w:r>
    </w:p>
    <w:p w14:paraId="05260F86">
      <w:pPr>
        <w:keepNext w:val="0"/>
        <w:keepLines w:val="0"/>
        <w:widowControl/>
        <w:spacing w:before="0" w:after="120" w:line="240" w:lineRule="auto"/>
        <w:jc w:val="both"/>
        <w:rPr>
          <w:rFonts w:hint="eastAsia"/>
          <w:b/>
          <w:bCs/>
          <w:lang w:eastAsia="zh-CN"/>
        </w:rPr>
      </w:pPr>
      <w:r>
        <w:rPr>
          <w:rFonts w:hint="eastAsia" w:ascii="宋体" w:hAnsi="宋体"/>
          <w:b w:val="0"/>
          <w:bCs/>
          <w:color w:val="00000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性别构成</w:t>
      </w:r>
      <w:r>
        <w:rPr>
          <w:rFonts w:hint="eastAsia" w:ascii="宋体" w:hAnsi="宋体" w:eastAsia="宋体"/>
          <w:b w:val="0"/>
          <w:bCs/>
          <w:color w:val="000000"/>
          <w:sz w:val="24"/>
          <w:lang w:eastAsia="zh-CN"/>
        </w:rPr>
        <w:t>：全市常住人口中，男性人口为1826662人，占51.15%；女性人口为1744843人，占48.85%。总人口性别比（以女性为100，男性对女性的比例）为104.69。</w:t>
      </w:r>
    </w:p>
    <w:p w14:paraId="04689178">
      <w:pPr>
        <w:keepNext w:val="0"/>
        <w:keepLines w:val="0"/>
        <w:widowControl/>
        <w:spacing w:before="0" w:after="120" w:line="240" w:lineRule="auto"/>
        <w:jc w:val="both"/>
        <w:rPr>
          <w:rFonts w:hint="eastAsia"/>
          <w:b/>
          <w:bCs/>
          <w:lang w:eastAsia="zh-CN"/>
        </w:rPr>
      </w:pPr>
      <w:r>
        <w:rPr>
          <w:rFonts w:hint="eastAsia" w:ascii="宋体" w:hAnsi="宋体"/>
          <w:b w:val="0"/>
          <w:bCs/>
          <w:color w:val="00000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bCs/>
          <w:color w:val="000000"/>
          <w:sz w:val="24"/>
          <w:lang w:eastAsia="zh-CN"/>
        </w:rPr>
        <w:t>年龄构成：全市常住人口中，0-14岁人口为798115人，占22.35%；15-59岁人口为2171649人，占60.80%；60岁及以上人口为601741人，占16.85%，其中65岁及以上人口为442548人，占12.39%。</w:t>
      </w:r>
      <w:r>
        <w:rPr>
          <w:rStyle w:val="136"/>
          <w:rFonts w:hint="eastAsia" w:ascii="宋体" w:hAnsi="宋体" w:eastAsia="宋体"/>
          <w:b w:val="0"/>
          <w:bCs/>
          <w:color w:val="000000"/>
          <w:sz w:val="24"/>
          <w:lang w:eastAsia="zh-CN"/>
        </w:rPr>
        <w:footnoteReference w:id="1"/>
      </w:r>
      <w:bookmarkStart w:id="0" w:name="_GoBack"/>
      <w:bookmarkEnd w:id="0"/>
    </w:p>
    <w:p w14:paraId="2076B6FA">
      <w:pPr>
        <w:pStyle w:val="4"/>
        <w:keepNext/>
        <w:pageBreakBefore w:val="0"/>
        <w:spacing w:line="240" w:lineRule="auto"/>
        <w:ind w:firstLine="0"/>
        <w:jc w:val="left"/>
      </w:pPr>
      <w:r>
        <w:rPr>
          <w:rFonts w:ascii="宋体" w:hAnsi="宋体" w:eastAsia="宋体"/>
          <w:b/>
          <w:color w:val="000000"/>
          <w:sz w:val="26"/>
        </w:rPr>
        <w:t>（三）经济发展基本情况</w:t>
      </w:r>
    </w:p>
    <w:p w14:paraId="74B40E4B">
      <w:pPr>
        <w:keepNext w:val="0"/>
        <w:keepLines w:val="0"/>
        <w:widowControl/>
        <w:spacing w:before="0" w:after="120" w:line="240" w:lineRule="auto"/>
        <w:jc w:val="both"/>
        <w:rPr>
          <w:b/>
          <w:bCs/>
        </w:rPr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根据市级生产总值统一核算结果，2025年全市生产总值2101.34亿元，按不变价格计算，比上年增长4.8%。分产业看，第一产业增加值335.26亿元，比上年增长4.4%；第二产业增加值905.47亿元，增长2.4%；第三产业增加值860.60亿元，增长7.2%。</w:t>
      </w:r>
      <w:r>
        <w:rPr>
          <w:rStyle w:val="136"/>
          <w:rFonts w:hint="eastAsia" w:ascii="宋体" w:hAnsi="宋体" w:eastAsia="宋体"/>
          <w:b w:val="0"/>
          <w:bCs/>
          <w:color w:val="000000"/>
          <w:sz w:val="24"/>
        </w:rPr>
        <w:footnoteReference w:id="2"/>
      </w:r>
    </w:p>
    <w:p w14:paraId="35B95BC2">
      <w:pPr>
        <w:pStyle w:val="4"/>
        <w:keepNext/>
        <w:pageBreakBefore w:val="0"/>
        <w:spacing w:line="240" w:lineRule="auto"/>
        <w:ind w:firstLine="0"/>
        <w:jc w:val="left"/>
      </w:pPr>
      <w:r>
        <w:rPr>
          <w:rFonts w:ascii="宋体" w:hAnsi="宋体" w:eastAsia="宋体"/>
          <w:b/>
          <w:color w:val="000000"/>
          <w:sz w:val="26"/>
        </w:rPr>
        <w:t>（四）社会公共服务与基础设施</w:t>
      </w:r>
    </w:p>
    <w:p w14:paraId="77211CA2">
      <w:pPr>
        <w:keepNext w:val="0"/>
        <w:keepLines w:val="0"/>
        <w:widowControl/>
        <w:spacing w:before="0" w:after="120" w:line="240" w:lineRule="auto"/>
        <w:jc w:val="both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作为广西脱贫攻坚和乡村振兴的主战场之一，百色集“老、少、边、山、穷”于一体，通信基础设施历史欠账多。 自2015年国家启动电信普遍服务项目以来，这座红色之城便成为国家和自治区倾注资源、重点扶持的对象。 一组数据令人瞩目：十年间，百色市累计获得中央财政补助资金超过5亿元，建设各类电信普遍服务基站近4000个，无论是项目数量还是资金投入，均位居广西各地市首位。</w:t>
      </w:r>
      <w:r>
        <w:rPr>
          <w:rStyle w:val="136"/>
          <w:rFonts w:hint="eastAsia" w:ascii="宋体" w:hAnsi="宋体" w:eastAsia="宋体"/>
          <w:b w:val="0"/>
          <w:bCs/>
          <w:color w:val="000000"/>
          <w:sz w:val="24"/>
        </w:rPr>
        <w:footnoteReference w:id="3"/>
      </w:r>
    </w:p>
    <w:p w14:paraId="0C48878C">
      <w:pPr>
        <w:pStyle w:val="3"/>
        <w:keepNext/>
        <w:pageBreakBefore w:val="0"/>
        <w:spacing w:line="240" w:lineRule="auto"/>
        <w:ind w:firstLine="0"/>
        <w:jc w:val="left"/>
      </w:pPr>
      <w:r>
        <w:rPr>
          <w:rFonts w:ascii="宋体" w:hAnsi="宋体" w:eastAsia="宋体"/>
          <w:b/>
          <w:color w:val="000000"/>
          <w:sz w:val="32"/>
        </w:rPr>
        <w:t>二、地区产业结构</w:t>
      </w:r>
    </w:p>
    <w:p w14:paraId="67BA12A3">
      <w:pPr>
        <w:pStyle w:val="4"/>
        <w:keepNext/>
        <w:pageBreakBefore w:val="0"/>
        <w:spacing w:line="240" w:lineRule="auto"/>
        <w:ind w:firstLine="0"/>
        <w:jc w:val="left"/>
      </w:pPr>
      <w:r>
        <w:rPr>
          <w:rFonts w:ascii="宋体" w:hAnsi="宋体" w:eastAsia="宋体"/>
          <w:b/>
          <w:color w:val="000000"/>
          <w:sz w:val="26"/>
        </w:rPr>
        <w:t>（一）第一、第二、第三产业结构及占比</w:t>
      </w:r>
    </w:p>
    <w:p w14:paraId="7E014372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1. 总量与增加值（2025 年）</w:t>
      </w:r>
    </w:p>
    <w:p w14:paraId="19E18424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全市 GDP 总量2101.34 亿元，不变价同比增长4.8%</w:t>
      </w:r>
    </w:p>
    <w:p w14:paraId="02E9134B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第一产业增加值：335.26 亿元，增速 4.4%</w:t>
      </w:r>
    </w:p>
    <w:p w14:paraId="67841684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第二产业增加值：905.47 亿元，增速 2.4%</w:t>
      </w:r>
    </w:p>
    <w:p w14:paraId="453769C7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第三产业增加值：860.60 亿元，增速 7.2%</w:t>
      </w:r>
    </w:p>
    <w:p w14:paraId="16255FD4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2. 三次产业结构占比</w:t>
      </w:r>
    </w:p>
    <w:p w14:paraId="7E0B47BC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第一产业占比：15.9%</w:t>
      </w:r>
    </w:p>
    <w:p w14:paraId="0020F2BA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第二产业占比：43.1%（经济体量最大，工业为核心支柱）</w:t>
      </w:r>
    </w:p>
    <w:p w14:paraId="2BBC102E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第三产业占比：41.0%</w:t>
      </w:r>
    </w:p>
    <w:p w14:paraId="57C9F89F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3. 经济增长贡献率</w:t>
      </w:r>
    </w:p>
    <w:p w14:paraId="5D66BA45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一产贡献率 17.5%；二产贡献率 20.2%；三产贡献率 62.3%，成为拉动经济增长第一动力</w:t>
      </w:r>
    </w:p>
    <w:p w14:paraId="6B9FC903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4. 产业结构特征</w:t>
      </w:r>
    </w:p>
    <w:p w14:paraId="6EE34419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第二产业仍是经济底盘，但增速偏弱；第三产业增速最快，服务业拉动作用凸显；</w:t>
      </w:r>
    </w:p>
    <w:p w14:paraId="7233800C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人均 GDP 61004 元，同比增长 6.1%，产业整体提质增效；</w:t>
      </w:r>
    </w:p>
    <w:p w14:paraId="6A456825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城镇化率 47.90%，城乡结构持续优化，为三产拓展消费、物流空间提供支撑。</w:t>
      </w:r>
      <w:r>
        <w:rPr>
          <w:rStyle w:val="136"/>
          <w:rFonts w:hint="eastAsia"/>
        </w:rPr>
        <w:footnoteReference w:id="4"/>
      </w:r>
    </w:p>
    <w:p w14:paraId="4D9579F7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  <w:lang w:val="en-US" w:eastAsia="zh-CN"/>
        </w:rPr>
      </w:pPr>
    </w:p>
    <w:p w14:paraId="52E55152">
      <w:pPr>
        <w:pStyle w:val="4"/>
        <w:keepNext/>
        <w:pageBreakBefore w:val="0"/>
        <w:spacing w:line="240" w:lineRule="auto"/>
        <w:ind w:firstLine="0"/>
        <w:jc w:val="left"/>
      </w:pPr>
      <w:r>
        <w:rPr>
          <w:rFonts w:ascii="宋体" w:hAnsi="宋体" w:eastAsia="宋体"/>
          <w:b/>
          <w:color w:val="000000"/>
          <w:sz w:val="26"/>
        </w:rPr>
        <w:t>（二）主导产业与特色产业</w:t>
      </w:r>
    </w:p>
    <w:p w14:paraId="337DC823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一、工业四大主导产业（全市核心支柱产业）</w:t>
      </w:r>
    </w:p>
    <w:p w14:paraId="4C81C87C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新型生态铝产业</w:t>
      </w:r>
    </w:p>
    <w:p w14:paraId="5258030A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百色传统支柱产业，形成铝土矿 — 氧化铝 — 电解铝 — 铝材精深加工 — 再生铝 — 赤泥综合利用全链条；规上工业黑色金属冶炼加工稳步增长，向动力电池铝箔、稀土铝合金、高端铝铸件等高端新材料延伸，是全市工业基本盘。</w:t>
      </w:r>
    </w:p>
    <w:p w14:paraId="0B669E68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新材料产业</w:t>
      </w:r>
    </w:p>
    <w:p w14:paraId="6DB044C3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涵盖铝基新材料、锰系新能源电池材料、氟硅化工新材料、高纯镓等稀有金属材料；高技术制造业增加值增长 27.9%，光缆、电子元件产量分别增长 68.1%、84.4%，技术附加值持续提升。</w:t>
      </w:r>
    </w:p>
    <w:p w14:paraId="37605A1F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新能源及装备制造产业</w:t>
      </w:r>
    </w:p>
    <w:p w14:paraId="7B6A4086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能源端：水电、风电、光伏发电增长 12.7%，新能源汽车保有量增至 3.95 万辆；规上装备制造业增加值大涨 41.7%；</w:t>
      </w:r>
    </w:p>
    <w:p w14:paraId="4C45ED46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制造端：布局储能装备、光伏组件、工业智能制造，高技术产业投资增长 57.7%。</w:t>
      </w:r>
    </w:p>
    <w:p w14:paraId="0A6DC49B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林产加工及纸业产业</w:t>
      </w:r>
    </w:p>
    <w:p w14:paraId="54B1ABFF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全年木材采伐量 818.13 万立方米（同比 + 12.4%），木材加工制造业增加值增长 19.3%，依托全市 68.9% 森林覆盖率，发展板材、造纸、林产精深加工。</w:t>
      </w:r>
    </w:p>
    <w:p w14:paraId="210B3528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二、农业特色产业</w:t>
      </w:r>
    </w:p>
    <w:p w14:paraId="36DADD6C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热带亚热带水果：芒果为龙头，园林水果总产量 266.47 万吨，芒果产量 126.15 万吨，同比增产 3.9%；</w:t>
      </w:r>
    </w:p>
    <w:p w14:paraId="389D35E3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油料油茶产业：油茶籽产量 17.66 万吨，增速 16.5%，区域性特色经济作物；</w:t>
      </w:r>
    </w:p>
    <w:p w14:paraId="18870CFB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糖料产业：糖料产量 295.17 万吨，广西传统优势种植业；</w:t>
      </w:r>
    </w:p>
    <w:p w14:paraId="1DA3ADEF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蔬菜、生猪畜禽、水产养殖：蔬菜产量 388.92 万吨，猪牛羊禽肉产量 29.10 万吨，水产品产量 10.95 万吨，保障基础农产品供给。</w:t>
      </w:r>
    </w:p>
    <w:p w14:paraId="2E130B87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三、服务业特色产业</w:t>
      </w:r>
    </w:p>
    <w:p w14:paraId="144690B5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跨境商贸进出口：货物进出口总额 482.49 亿元（+9.8%），对东盟贸易规模大，出口拉动显著；</w:t>
      </w:r>
    </w:p>
    <w:p w14:paraId="2ED7E0B5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文旅产业：全年旅游总消费 747.92 亿元，接待国内游客 7074.49 万人次，红色文旅、生态旅游为特色；</w:t>
      </w:r>
    </w:p>
    <w:p w14:paraId="1ED17553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物流交通：西部陆海新通道节点，公路、铁路、水路、港口多式联运；</w:t>
      </w:r>
    </w:p>
    <w:p w14:paraId="08C2BB7C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数字信息产业：建成 5G 基站 1.28 万个，宽带用户持续增长，人工智能赋能消费、工业、投资多领域。</w:t>
      </w:r>
    </w:p>
    <w:p w14:paraId="2C8F3DA1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四、新兴潜力产业</w:t>
      </w:r>
    </w:p>
    <w:p w14:paraId="60CC2903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ascii="宋体" w:hAnsi="宋体"/>
          <w:b w:val="0"/>
          <w:color w:val="000000"/>
          <w:sz w:val="24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>人工智能、智能制造、生物医药、绿色建材、低空经济、氢能储能，限额以上智能穿戴、智能手机、计算机零售额大幅增长，数字化转型提速。</w:t>
      </w:r>
      <w:r>
        <w:rPr>
          <w:rStyle w:val="136"/>
          <w:rFonts w:hint="eastAsia" w:ascii="宋体" w:hAnsi="宋体"/>
          <w:b w:val="0"/>
          <w:color w:val="000000"/>
          <w:sz w:val="24"/>
          <w:lang w:eastAsia="zh-CN"/>
        </w:rPr>
        <w:footnoteReference w:id="5"/>
      </w:r>
    </w:p>
    <w:p w14:paraId="6810AE2E">
      <w:pPr>
        <w:keepNext w:val="0"/>
        <w:keepLines w:val="0"/>
        <w:widowControl/>
        <w:tabs>
          <w:tab w:val="left" w:pos="2535"/>
        </w:tabs>
        <w:spacing w:before="0" w:after="120" w:line="240" w:lineRule="auto"/>
        <w:ind w:firstLine="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/>
          <w:b w:val="0"/>
          <w:color w:val="000000"/>
          <w:sz w:val="24"/>
          <w:lang w:eastAsia="zh-CN"/>
        </w:rPr>
        <w:tab/>
      </w:r>
    </w:p>
    <w:p w14:paraId="487D200C">
      <w:pPr>
        <w:pStyle w:val="4"/>
        <w:keepNext/>
        <w:pageBreakBefore w:val="0"/>
        <w:numPr>
          <w:ilvl w:val="0"/>
          <w:numId w:val="7"/>
        </w:numPr>
        <w:spacing w:line="240" w:lineRule="auto"/>
        <w:ind w:firstLine="0"/>
        <w:jc w:val="left"/>
        <w:rPr>
          <w:rFonts w:ascii="宋体" w:hAnsi="宋体" w:eastAsia="宋体"/>
          <w:b/>
          <w:color w:val="000000"/>
          <w:sz w:val="26"/>
        </w:rPr>
      </w:pPr>
      <w:r>
        <w:rPr>
          <w:rFonts w:ascii="宋体" w:hAnsi="宋体" w:eastAsia="宋体"/>
          <w:b/>
          <w:color w:val="000000"/>
          <w:sz w:val="26"/>
        </w:rPr>
        <w:t>重点企业、园区或产业链</w:t>
      </w:r>
    </w:p>
    <w:p w14:paraId="3EFA1D65">
      <w:pPr>
        <w:numPr>
          <w:ilvl w:val="0"/>
          <w:numId w:val="0"/>
        </w:numPr>
        <w:spacing w:line="240" w:lineRule="auto"/>
      </w:pPr>
      <w:r>
        <w:t>1. 核心产业链（公报对应产业数据佐证）</w:t>
      </w:r>
    </w:p>
    <w:p w14:paraId="284DDAA5">
      <w:pPr>
        <w:numPr>
          <w:ilvl w:val="0"/>
          <w:numId w:val="0"/>
        </w:numPr>
        <w:spacing w:line="240" w:lineRule="auto"/>
      </w:pPr>
      <w:r>
        <w:t>（1）铝全产业链（全市第一大产业链）</w:t>
      </w:r>
    </w:p>
    <w:p w14:paraId="4E954A92">
      <w:pPr>
        <w:numPr>
          <w:ilvl w:val="0"/>
          <w:numId w:val="0"/>
        </w:numPr>
        <w:spacing w:line="240" w:lineRule="auto"/>
      </w:pPr>
      <w:r>
        <w:rPr>
          <w:lang w:val="en-US" w:eastAsia="zh-CN"/>
        </w:rPr>
        <w:t>上游：铝土矿开采；中游：氧化铝、电解铝冶炼；下游：铝板带箔、铝型材、电池铝箔、再生铝、赤泥综合利用；配套：高端铝基复合材料、稀土铝合金，适配新能源汽车、电子、光伏应用。</w:t>
      </w:r>
    </w:p>
    <w:p w14:paraId="13BAECB0">
      <w:pPr>
        <w:numPr>
          <w:ilvl w:val="0"/>
          <w:numId w:val="0"/>
        </w:numPr>
        <w:spacing w:line="240" w:lineRule="auto"/>
      </w:pPr>
      <w:r>
        <w:t>（2）新能源电池材料产业链</w:t>
      </w:r>
    </w:p>
    <w:p w14:paraId="32531B65">
      <w:pPr>
        <w:numPr>
          <w:ilvl w:val="0"/>
          <w:numId w:val="0"/>
        </w:numPr>
        <w:spacing w:line="240" w:lineRule="auto"/>
      </w:pPr>
      <w:r>
        <w:rPr>
          <w:lang w:val="en-US" w:eastAsia="zh-CN"/>
        </w:rPr>
        <w:t>锰矿开采→电解二氧化锰→锰酸锂、磷酸铁锂等电池正极材料，配套新能源储能、动力电池产业。</w:t>
      </w:r>
    </w:p>
    <w:p w14:paraId="14D5B279">
      <w:pPr>
        <w:numPr>
          <w:ilvl w:val="0"/>
          <w:numId w:val="0"/>
        </w:numPr>
        <w:spacing w:line="240" w:lineRule="auto"/>
      </w:pPr>
      <w:r>
        <w:t>（3）化工新材料产业链（田东园区为主）</w:t>
      </w:r>
    </w:p>
    <w:p w14:paraId="3B0CF4D7">
      <w:pPr>
        <w:numPr>
          <w:ilvl w:val="0"/>
          <w:numId w:val="0"/>
        </w:numPr>
        <w:spacing w:line="240" w:lineRule="auto"/>
      </w:pPr>
      <w:r>
        <w:rPr>
          <w:lang w:val="en-US" w:eastAsia="zh-CN"/>
        </w:rPr>
        <w:t>氯碱化工→氟化工、有机硅精细新材料，循环化布局。</w:t>
      </w:r>
    </w:p>
    <w:p w14:paraId="0BADC82D">
      <w:pPr>
        <w:numPr>
          <w:ilvl w:val="0"/>
          <w:numId w:val="0"/>
        </w:numPr>
        <w:spacing w:line="240" w:lineRule="auto"/>
      </w:pPr>
      <w:r>
        <w:t>（4）林产循环产业链</w:t>
      </w:r>
    </w:p>
    <w:p w14:paraId="772BC391">
      <w:pPr>
        <w:numPr>
          <w:ilvl w:val="0"/>
          <w:numId w:val="0"/>
        </w:numPr>
        <w:spacing w:line="240" w:lineRule="auto"/>
      </w:pPr>
      <w:r>
        <w:rPr>
          <w:lang w:val="en-US" w:eastAsia="zh-CN"/>
        </w:rPr>
        <w:t>采伐 — 板材加工 — 纤维制品 — 造纸 — 林业碳汇综合利用。</w:t>
      </w:r>
    </w:p>
    <w:p w14:paraId="2C9653B3">
      <w:pPr>
        <w:numPr>
          <w:ilvl w:val="0"/>
          <w:numId w:val="0"/>
        </w:numPr>
        <w:spacing w:line="240" w:lineRule="auto"/>
      </w:pPr>
      <w:r>
        <w:t>（5）跨境贸易产业链</w:t>
      </w:r>
    </w:p>
    <w:p w14:paraId="54359931">
      <w:pPr>
        <w:numPr>
          <w:ilvl w:val="0"/>
          <w:numId w:val="0"/>
        </w:numPr>
        <w:spacing w:line="240" w:lineRule="auto"/>
      </w:pPr>
      <w:r>
        <w:rPr>
          <w:lang w:val="en-US" w:eastAsia="zh-CN"/>
        </w:rPr>
        <w:t>口岸进口东盟矿产、农产品→本地深加工→国内销售 + 出口东盟双向贸易。</w:t>
      </w:r>
    </w:p>
    <w:p w14:paraId="2F7BAE57">
      <w:pPr>
        <w:numPr>
          <w:ilvl w:val="0"/>
          <w:numId w:val="0"/>
        </w:numPr>
        <w:spacing w:line="240" w:lineRule="auto"/>
      </w:pPr>
      <w:r>
        <w:t>2. 重点产业园区（匹配公报产业布局）</w:t>
      </w:r>
    </w:p>
    <w:p w14:paraId="5A192BA4">
      <w:pPr>
        <w:numPr>
          <w:ilvl w:val="0"/>
          <w:numId w:val="0"/>
        </w:numPr>
        <w:spacing w:line="240" w:lineRule="auto"/>
      </w:pPr>
      <w:r>
        <w:t>百色高新区（百东新区）：铝基新材料、高端精深铝加工、飞地先进制造、高技术产业集聚核心，全市人工智能创新发展中心落地于此；</w:t>
      </w:r>
    </w:p>
    <w:p w14:paraId="1649EEEB">
      <w:pPr>
        <w:numPr>
          <w:ilvl w:val="0"/>
          <w:numId w:val="0"/>
        </w:numPr>
        <w:spacing w:line="240" w:lineRule="auto"/>
      </w:pPr>
      <w:r>
        <w:t>平果、德保、靖西生态铝产业园：铝冶炼、铝精深加工、新能源电池材料主力承载园区；</w:t>
      </w:r>
    </w:p>
    <w:p w14:paraId="2C6EDF5A">
      <w:pPr>
        <w:numPr>
          <w:ilvl w:val="0"/>
          <w:numId w:val="0"/>
        </w:numPr>
        <w:spacing w:line="240" w:lineRule="auto"/>
      </w:pPr>
      <w:r>
        <w:t>田东石化工业园区：百色唯一专业化化工园区，氟硅新材料、循环化工基地；</w:t>
      </w:r>
    </w:p>
    <w:p w14:paraId="196197C8">
      <w:pPr>
        <w:numPr>
          <w:ilvl w:val="0"/>
          <w:numId w:val="0"/>
        </w:numPr>
        <w:spacing w:line="240" w:lineRule="auto"/>
      </w:pPr>
      <w:r>
        <w:t>沿边口岸加工园区：承接东盟进出口落地加工，支撑外贸 482.49 亿元进出口规模；</w:t>
      </w:r>
    </w:p>
    <w:p w14:paraId="06C7EFB1">
      <w:pPr>
        <w:numPr>
          <w:ilvl w:val="0"/>
          <w:numId w:val="0"/>
        </w:numPr>
        <w:spacing w:line="240" w:lineRule="auto"/>
      </w:pPr>
      <w:r>
        <w:t>各县域林产产业园：右江、田林、西林布局木材深加工、生态板材项目。</w:t>
      </w:r>
      <w:r>
        <w:rPr>
          <w:rStyle w:val="136"/>
        </w:rPr>
        <w:footnoteReference w:id="6"/>
      </w:r>
    </w:p>
    <w:p w14:paraId="7143E007">
      <w:pPr>
        <w:pStyle w:val="4"/>
        <w:keepNext/>
        <w:pageBreakBefore w:val="0"/>
        <w:spacing w:line="240" w:lineRule="auto"/>
        <w:ind w:firstLine="0"/>
        <w:jc w:val="left"/>
        <w:rPr>
          <w:rFonts w:hint="eastAsia"/>
        </w:rPr>
      </w:pPr>
      <w:r>
        <w:rPr>
          <w:rFonts w:ascii="宋体" w:hAnsi="宋体" w:eastAsia="宋体"/>
          <w:b/>
          <w:color w:val="000000"/>
          <w:sz w:val="26"/>
        </w:rPr>
        <w:t>（四）产业发展优势</w:t>
      </w:r>
    </w:p>
    <w:p w14:paraId="24D0138B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1. 资源禀赋优势突出</w:t>
      </w:r>
    </w:p>
    <w:p w14:paraId="781C7290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矿产：铝土矿、锰、锑、镓等有色金属储量富集，支撑铝、新材料两大主导产业；</w:t>
      </w:r>
    </w:p>
    <w:p w14:paraId="2C819D0A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农林：森林覆盖率 68.9%，芒果、油茶、糖料、蔬菜规模体量全区靠前，特色农业基础扎实；</w:t>
      </w:r>
    </w:p>
    <w:p w14:paraId="3475A407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清洁能源：水电、风电、太阳能资源丰富，清洁能源发电量 105.56 亿千瓦时，工业能耗稳步下降（规上工业单位增加值能耗下降 5.9%），绿色低碳转型基础好。</w:t>
      </w:r>
    </w:p>
    <w:p w14:paraId="56F4B239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2. 区位开放优势显著</w:t>
      </w:r>
    </w:p>
    <w:p w14:paraId="0FB11C65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西部陆海新通道重要节点，边境毗邻东盟，进出口总额增长 9.8%，对东盟贸易体量庞大；公路总里程 28493 公里、高铁 305 公里、内河港口配套完善，多式联运支撑跨境加工与物流发展；百色重点开发开放试验区政策加持。</w:t>
      </w:r>
    </w:p>
    <w:p w14:paraId="404CB298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3. 产业体系成型，新旧动能加快转换</w:t>
      </w:r>
    </w:p>
    <w:p w14:paraId="6298401B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传统铝产业从 “一铝独大” 转向铝、新材料、新能源、林产 “四轮驱动”；</w:t>
      </w:r>
    </w:p>
    <w:p w14:paraId="2C9EC623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新兴产业提速：装备制造增加值增 41.7%、高技术制造增 27.9%、高技术投资增 57.7%，人工智能在工业、消费、投资场景全面落地；</w:t>
      </w:r>
    </w:p>
    <w:p w14:paraId="7DD65BF6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第三产业增速领跑 GDP，消费、物流、外贸、文旅协同拉动经济。</w:t>
      </w:r>
    </w:p>
    <w:p w14:paraId="1E53AC4B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4. 绿色生态优势明显</w:t>
      </w:r>
    </w:p>
    <w:p w14:paraId="5C0298C3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地表水考核断面水质优良率 100%，饮用水源水质全部达标，森林生态、水土环境承载力强，适配生态工业、生态农业、生态文旅发展；城镇污水、生活垃圾无害化处理水平高。</w:t>
      </w:r>
    </w:p>
    <w:p w14:paraId="4369E96E">
      <w:pPr>
        <w:keepNext w:val="0"/>
        <w:keepLines w:val="0"/>
        <w:widowControl/>
        <w:spacing w:before="0" w:after="120" w:line="240" w:lineRule="auto"/>
        <w:ind w:firstLine="0"/>
        <w:jc w:val="left"/>
        <w:rPr>
          <w:rFonts w:hint="eastAsia"/>
        </w:rPr>
      </w:pPr>
      <w:r>
        <w:rPr>
          <w:rFonts w:hint="eastAsia"/>
        </w:rPr>
        <w:t>5. 政策与要素配套支撑</w:t>
      </w:r>
    </w:p>
    <w:p w14:paraId="380E54F2">
      <w:pPr>
        <w:keepNext w:val="0"/>
        <w:keepLines w:val="0"/>
        <w:widowControl/>
        <w:spacing w:before="0" w:after="120" w:line="240" w:lineRule="auto"/>
        <w:ind w:firstLine="0"/>
        <w:jc w:val="left"/>
      </w:pPr>
      <w:r>
        <w:rPr>
          <w:rFonts w:hint="eastAsia"/>
        </w:rPr>
        <w:t>落实 “一区两地一园一通道”、“一市一区” 战略，大力发展 “五个经济”；财政民生支出占一般公共预算支出 78.7%，社保、科教、医疗配套完善，劳动力资源充足（农村外出务工 152.40 万人）。</w:t>
      </w:r>
    </w:p>
    <w:p w14:paraId="2423D54C">
      <w:pPr>
        <w:keepNext w:val="0"/>
        <w:keepLines w:val="0"/>
        <w:widowControl/>
        <w:spacing w:before="0" w:after="120" w:line="240" w:lineRule="auto"/>
        <w:ind w:firstLine="0"/>
        <w:jc w:val="left"/>
      </w:pPr>
    </w:p>
    <w:p w14:paraId="450F002C">
      <w:pPr>
        <w:pStyle w:val="3"/>
        <w:keepNext/>
        <w:pageBreakBefore w:val="0"/>
        <w:spacing w:line="240" w:lineRule="auto"/>
        <w:ind w:firstLine="0"/>
        <w:jc w:val="left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/>
          <w:color w:val="000000"/>
          <w:sz w:val="32"/>
        </w:rPr>
        <w:t>三、往年社会实践调研</w:t>
      </w:r>
      <w:r>
        <w:rPr>
          <w:rFonts w:hint="eastAsia" w:ascii="宋体" w:hAnsi="宋体" w:eastAsia="宋体"/>
          <w:b/>
          <w:color w:val="000000"/>
          <w:sz w:val="32"/>
          <w:lang w:val="en-US" w:eastAsia="zh-CN"/>
        </w:rPr>
        <w:t>总结</w:t>
      </w:r>
    </w:p>
    <w:p w14:paraId="18BF0B3F">
      <w:pPr>
        <w:keepNext w:val="0"/>
        <w:keepLines w:val="0"/>
        <w:widowControl/>
        <w:spacing w:before="0" w:after="120" w:line="240" w:lineRule="auto"/>
        <w:ind w:firstLine="0"/>
        <w:jc w:val="left"/>
      </w:pPr>
      <w:r>
        <w:rPr>
          <w:lang w:val="en-US" w:eastAsia="zh-CN"/>
        </w:rPr>
        <w:t>那坡县地处广西百色中越边境，是典型边境少数民族欠发达县，黑衣壮文化底蕴深厚，依托兴边富民、粤桂协作、乡村振兴相关政策，形成以黑衣壮民俗村落、桑蚕种养基地、田园文旅综合体为载体的高校社会实践定点基地，长期承接民族文化调研、特色产业帮扶、乡村治理研究等实践活动。县域经济基础偏弱，2021 年全县仅 11 家规上工业企业，产业以矿业、桑蚕、农林加工为主，长期面临青壮年外流、本土产业吸纳就业能力不足、民族文化传承乏力等现实难题，也成为探究文化传承与特色产业协同发展的典型调研样本。</w:t>
      </w:r>
    </w:p>
    <w:p w14:paraId="0EFED681">
      <w:pPr>
        <w:keepNext w:val="0"/>
        <w:keepLines w:val="0"/>
        <w:widowControl/>
        <w:spacing w:before="0" w:after="120" w:line="240" w:lineRule="auto"/>
        <w:ind w:firstLine="0"/>
        <w:jc w:val="left"/>
      </w:pPr>
      <w:r>
        <w:rPr>
          <w:lang w:val="en-US" w:eastAsia="zh-CN"/>
        </w:rPr>
        <w:t>现有学术与社会实践研究围绕三大方向展开：一是民族认同与人口流动研究，已有研究发现外出务工冲击壮族文化传承，学历、科学素养会正向影响居民民族认同感，高文化认同群体更易因本地就业短板产生不满情绪，进而催生出县务工意愿，往届报告通过问卷与潜变量模型量化验证了这一传导逻辑；二是特色产业研究，桑蚕产业存在劳动力不足、山地机械化推进困难、抗市场风险能力弱等问题，当地文旅产业虽拥有吞力屯、尼的呀田园综合体等资源，却受运营主体退出、产业链偏短、宣传模式传统制约，田园旅游也存在辨识度不足、融合程度浅的短板；三是返乡青年赋能研究，普遍认可返乡大学生、驻村第一书记在乡村治理、农业转型、文旅创意开发中的关键作用，但相关系统性实证研究较少。</w:t>
      </w:r>
    </w:p>
    <w:p w14:paraId="30C39200">
      <w:pPr>
        <w:keepNext w:val="0"/>
        <w:keepLines w:val="0"/>
        <w:widowControl/>
        <w:spacing w:before="0" w:after="120" w:line="240" w:lineRule="auto"/>
        <w:ind w:firstLine="0"/>
        <w:jc w:val="left"/>
      </w:pPr>
      <w:r>
        <w:rPr>
          <w:lang w:val="en-US" w:eastAsia="zh-CN"/>
        </w:rPr>
        <w:t>整体来看，过往研究大多单独剖析文化或产业问题，较少量化分析二者内在关联，针对人才流失矛盾设计一体化发展方案的成果不多。该社会实践基地立足县域现实痛点，围绕 “传承传统文化、壮大特色产业” 开展调研实践，提出职教融合、农文旅融合、村企联营、柔性引才等落地对策，既填补当地实证研究短板，也为边境民族地区乡村振兴提供实践参考。</w:t>
      </w:r>
      <w:r>
        <w:rPr>
          <w:rStyle w:val="136"/>
          <w:lang w:val="en-US" w:eastAsia="zh-CN"/>
        </w:rPr>
        <w:footnoteReference w:id="7"/>
      </w:r>
    </w:p>
    <w:p w14:paraId="6D2E8971">
      <w:pPr>
        <w:keepNext w:val="0"/>
        <w:keepLines w:val="0"/>
        <w:widowControl/>
        <w:spacing w:before="0" w:after="120" w:line="240" w:lineRule="auto"/>
        <w:ind w:firstLine="0"/>
        <w:jc w:val="left"/>
      </w:pPr>
    </w:p>
    <w:p w14:paraId="06664ADE">
      <w:pPr>
        <w:keepNext w:val="0"/>
        <w:keepLines w:val="0"/>
        <w:widowControl/>
        <w:spacing w:before="0" w:after="120" w:line="240" w:lineRule="auto"/>
        <w:ind w:left="0" w:firstLine="0"/>
        <w:jc w:val="both"/>
      </w:pPr>
    </w:p>
    <w:sectPr>
      <w:footerReference r:id="rId5" w:type="default"/>
      <w:pgSz w:w="11906" w:h="16838"/>
      <w:pgMar w:top="1020" w:right="1300" w:bottom="1020" w:left="130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A29F0">
    <w:pPr>
      <w:pStyle w:val="24"/>
      <w:jc w:val="center"/>
    </w:pPr>
    <w:r>
      <w:rPr>
        <w:rFonts w:ascii="宋体" w:hAnsi="宋体" w:eastAsia="宋体"/>
        <w:b w:val="0"/>
        <w:color w:val="000000"/>
        <w:sz w:val="18"/>
      </w:rPr>
      <w:fldChar w:fldCharType="begin"/>
    </w:r>
    <w:r>
      <w:rPr>
        <w:rFonts w:ascii="宋体" w:hAnsi="宋体" w:eastAsia="宋体"/>
        <w:b w:val="0"/>
        <w:color w:val="000000"/>
        <w:sz w:val="18"/>
      </w:rPr>
      <w:instrText xml:space="preserve"> PAGE </w:instrText>
    </w:r>
    <w:r>
      <w:rPr>
        <w:rFonts w:ascii="宋体" w:hAnsi="宋体" w:eastAsia="宋体"/>
        <w:b w:val="0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6">
    <w:p>
      <w:pPr>
        <w:spacing w:before="0" w:after="0" w:line="360" w:lineRule="auto"/>
      </w:pPr>
      <w:r>
        <w:separator/>
      </w:r>
    </w:p>
  </w:footnote>
  <w:footnote w:type="continuationSeparator" w:id="17">
    <w:p>
      <w:pPr>
        <w:spacing w:before="0" w:after="0" w:line="360" w:lineRule="auto"/>
      </w:pPr>
      <w:r>
        <w:continuationSeparator/>
      </w:r>
    </w:p>
  </w:footnote>
  <w:footnote w:id="0">
    <w:p w14:paraId="0B86BD10">
      <w:pPr>
        <w:pStyle w:val="28"/>
        <w:snapToGrid w:val="0"/>
        <w:spacing w:line="240" w:lineRule="auto"/>
        <w:rPr>
          <w:rFonts w:hint="eastAsia"/>
          <w:lang w:val="en-US" w:eastAsia="zh-CN"/>
        </w:rPr>
      </w:pPr>
      <w:r>
        <w:rPr>
          <w:rStyle w:val="136"/>
        </w:rPr>
        <w:footnoteRef/>
      </w:r>
      <w:r>
        <w:rPr>
          <w:rFonts w:hint="eastAsia"/>
          <w:lang w:val="en-US" w:eastAsia="zh-CN"/>
        </w:rPr>
        <w:t xml:space="preserve"> 信息来源：百度百科</w:t>
      </w:r>
    </w:p>
  </w:footnote>
  <w:footnote w:id="1">
    <w:p w14:paraId="3E907CEF">
      <w:pPr>
        <w:pStyle w:val="28"/>
        <w:snapToGrid w:val="0"/>
        <w:spacing w:line="240" w:lineRule="auto"/>
        <w:rPr>
          <w:rFonts w:hint="default"/>
          <w:lang w:val="en-US" w:eastAsia="zh-CN"/>
        </w:rPr>
      </w:pPr>
      <w:r>
        <w:rPr>
          <w:rStyle w:val="136"/>
        </w:rPr>
        <w:footnoteRef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信息来源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广西百色市人民政府门户网站</w:t>
      </w:r>
    </w:p>
  </w:footnote>
  <w:footnote w:id="2">
    <w:p w14:paraId="138C2F5F">
      <w:pPr>
        <w:pStyle w:val="28"/>
        <w:snapToGrid w:val="0"/>
        <w:spacing w:line="240" w:lineRule="auto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信息来源：广西百色市人民政府门户网站</w:t>
      </w:r>
    </w:p>
  </w:footnote>
  <w:footnote w:id="3">
    <w:p w14:paraId="32CF6839">
      <w:pPr>
        <w:pStyle w:val="28"/>
        <w:snapToGrid w:val="0"/>
        <w:spacing w:line="240" w:lineRule="auto"/>
        <w:rPr>
          <w:rFonts w:hint="default" w:eastAsia="宋体"/>
          <w:lang w:val="en-US" w:eastAsia="zh-CN"/>
        </w:rPr>
      </w:pPr>
      <w:r>
        <w:rPr>
          <w:rStyle w:val="136"/>
        </w:rPr>
        <w:footnoteRef/>
      </w:r>
      <w:r>
        <w:t xml:space="preserve"> </w:t>
      </w:r>
      <w:r>
        <w:rPr>
          <w:rFonts w:hint="eastAsia"/>
          <w:lang w:val="en-US" w:eastAsia="zh-CN"/>
        </w:rPr>
        <w:t>广西壮族自治区通信管理局</w:t>
      </w:r>
    </w:p>
  </w:footnote>
  <w:footnote w:id="4">
    <w:p w14:paraId="6CF1ADB1">
      <w:pPr>
        <w:pStyle w:val="28"/>
        <w:snapToGrid w:val="0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2025 年百色市国民经济和社会发展统计公报</w:t>
      </w:r>
    </w:p>
  </w:footnote>
  <w:footnote w:id="5">
    <w:p w14:paraId="0006B8B5">
      <w:pPr>
        <w:pStyle w:val="28"/>
        <w:snapToGrid w:val="0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2025 年百色市国民经济和社会发展统计公报</w:t>
      </w:r>
    </w:p>
  </w:footnote>
  <w:footnote w:id="6">
    <w:p w14:paraId="499240F6">
      <w:pPr>
        <w:pStyle w:val="28"/>
        <w:snapToGrid w:val="0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2025 年百色市国民经济和社会发展统计公报</w:t>
      </w:r>
    </w:p>
  </w:footnote>
  <w:footnote w:id="7">
    <w:p w14:paraId="78488823">
      <w:pPr>
        <w:pStyle w:val="28"/>
        <w:snapToGrid w:val="0"/>
        <w:rPr>
          <w:rFonts w:hint="default"/>
          <w:lang w:val="en-US" w:eastAsia="zh-CN"/>
        </w:rPr>
      </w:pPr>
      <w:r>
        <w:rPr>
          <w:rStyle w:val="136"/>
        </w:rPr>
        <w:footnoteRef/>
      </w:r>
      <w:r>
        <w:t xml:space="preserve"> </w:t>
      </w:r>
      <w:r>
        <w:rPr>
          <w:rFonts w:hint="eastAsia"/>
          <w:lang w:val="en-US" w:eastAsia="zh-CN"/>
        </w:rPr>
        <w:t>总结自2025年报告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E8F798A"/>
    <w:multiLevelType w:val="singleLevel"/>
    <w:tmpl w:val="7E8F798A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16"/>
    <w:footnote w:id="17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EF2FA2"/>
    <w:rsid w:val="7B7A8E03"/>
    <w:rsid w:val="7FB7F49D"/>
    <w:rsid w:val="E57098DB"/>
    <w:rsid w:val="FABE04AF"/>
    <w:rsid w:val="FF5BF8B4"/>
    <w:rsid w:val="FFEE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pageBreakBefore w:val="0"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pageBreakBefore w:val="0"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footnote reference"/>
    <w:basedOn w:val="133"/>
    <w:semiHidden/>
    <w:unhideWhenUsed/>
    <w:uiPriority w:val="99"/>
    <w:rPr>
      <w:vertAlign w:val="superscript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9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李忱昊</cp:lastModifiedBy>
  <dcterms:modified xsi:type="dcterms:W3CDTF">2026-07-06T14:14:57Z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4623E76522CD8C275750476A94B2B8D8_43</vt:lpwstr>
  </property>
</Properties>
</file>