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AgentShield 调研详细内容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AgentShield 调研文档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一、文档目的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本调研回答三个核心问题：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Agent 安全问题是否真实存在且值得解决？</w:t>
      </w:r>
      <w:r>
        <w:rPr>
          <w:rFonts w:eastAsia="等线" w:ascii="Arial" w:cs="Arial" w:hAnsi="Arial"/>
          <w:sz w:val="22"/>
        </w:rPr>
        <w:t xml:space="preserve"> — 是，2025 年已有多起真实事故造成数百万损失，且 EU AI Act 2026.8 执法在即。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现有竞品做得怎么样？哪里不好？</w:t>
      </w:r>
      <w:r>
        <w:rPr>
          <w:rFonts w:eastAsia="等线" w:ascii="Arial" w:cs="Arial" w:hAnsi="Arial"/>
          <w:sz w:val="22"/>
        </w:rPr>
        <w:t xml:space="preserve"> — 竞品各自覆盖 1-2 个模块，无人做到全栈；金融 agent 场景几乎空白。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我们是否有机会做出更好的方案？</w:t>
      </w:r>
      <w:r>
        <w:rPr>
          <w:rFonts w:eastAsia="等线" w:ascii="Arial" w:cs="Arial" w:hAnsi="Arial"/>
          <w:sz w:val="22"/>
        </w:rPr>
        <w:t xml:space="preserve"> — Tomo 自身即 crypto AI wallet + agent payment 玩家，具备"先内后外"的天然场景优势。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二、调研内容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 项目出发点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一句话描述：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我们为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部署 AI agent 处理金融/支付/链上操作的企业和开发者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，在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agent 自主执行敏感操作（交易、数据访问、API 调用）的场景下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，解决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agent 行为无审计、无权限边界、无身份验证导致的安全事故和合规缺失问题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，通过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提供一个 3 行代码集成的 SDK，实现不可篡改审计日志 + runtime 策略校验 + agent 身份管理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 用户与使用场景调研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2.1 目标用户定义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一级用户（最先付费）：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30"/>
        <w:gridCol w:w="2790"/>
        <w:gridCol w:w="1830"/>
        <w:gridCol w:w="1830"/>
      </w:tblGrid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用户类型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具体画像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使用频率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使用动机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金融科技公司的 AI agent 开发团队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部署了 ≥3 个 AI agent 处理交易、风控、客服等任务的 fintech 工程团队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 agent 执行数百至数千次自主操作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合规硬需求（EU AI Act 2026.8）+ 防止越权交易造成直接经济损失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支付网络/处理商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Mastercard Agent Pay、Visa、Stripe 等正在构建 agent 支付能力的团队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支付场景持续运行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需要安全层才能将 agent 支付能力上线生产环境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Crypto/Web3 支付平台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管理私钥、执行链上交易的 DeFi/钱包平台（如 Tomo 自身）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7×24 链上交易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一次私钥泄露或越权交易可能是灾难性的，不可逆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 IT/安全团队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员工使用 AI agent（如 Copilot、内部 bot）接触 CRM、HR、财务等敏感系统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每日多次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EU AI Act 2026.8 合规 deadline，必须有技术日志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二级用户（长尾）：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具体画像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使用动机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应用开发者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 LangChain / CrewAI / AutoGen 等框架构建 agent 的独立开发者或小团队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需要防止 agent 失控（死循环、超支）、满足客户安全要求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SaaS 公司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在产品中嵌入 AI agent 功能的 B2B SaaS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客户要求提供 agent 操作审计能力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合规咨询公司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帮助客户达标 EU AI Act / SOC 2 / HIPAA 的咨询机构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需要工具帮客户快速达标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2.2 使用场景还原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 1：金融 AI agent 越权交易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某 fintech 公司部署了一个 AI agent 处理贷款审批 → agent 收到用户请求 → agent 调用内部 API 查询信用数据 → agent 自主决定批准贷款并执行放款 →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没有人工审批流程、没有操作日志、没有权限边界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→ agent 被攻击者利用 prompt injection 批准了虚假公司的贷款申请 → 造成 £1500 万损失。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 2：AI agent 死循环烧钱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开发者使用 LangChain 构建了一个数据分析 agent → agent 在执行复杂查询时进入推理死循环 → 持续调用 LLM API →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没有 rate limiting、没有预算上限、没有异常检测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→ 一夜之间产生 $4.7 万 token 账单。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 3：Coding agent 删库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团队使用 Claude Code agent 进行代码重构 → agent 误判旧数据为冗余 → 执行删除操作 →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没有执行前校验、没有策略边界、没有审计回溯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→ 2.5 年生产数据永久丢失。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 4：MCP 工具投毒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agent 通过 MCP 协议调用外部工具 → 工具描述被注入恶意指令 → agent 执行了非预期操作 →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没有工具白名单、没有调用前校验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→ 攻击成功率高达 84.2%。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2.3 痛点 &amp; 影响分析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痛点：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925"/>
        <w:gridCol w:w="5355"/>
      </w:tblGrid>
      <w:tr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痛点</w:t>
            </w:r>
          </w:p>
        </w:tc>
        <w:tc>
          <w:tcPr>
            <w:tcW w:w="5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无审计日志</w:t>
            </w:r>
          </w:p>
        </w:tc>
        <w:tc>
          <w:tcPr>
            <w:tcW w:w="5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执行了什么操作、为什么执行、结果如何，完全不可追溯</w:t>
            </w:r>
          </w:p>
        </w:tc>
      </w:tr>
      <w:tr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无权限边界</w:t>
            </w:r>
          </w:p>
        </w:tc>
        <w:tc>
          <w:tcPr>
            <w:tcW w:w="5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可以调用任何工具、访问任何数据、执行任何金额的交易</w:t>
            </w:r>
          </w:p>
        </w:tc>
      </w:tr>
      <w:tr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无身份验证</w:t>
            </w:r>
          </w:p>
        </w:tc>
        <w:tc>
          <w:tcPr>
            <w:tcW w:w="5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不知道是哪个 agent、代表谁、在什么授权范围内执行</w:t>
            </w:r>
          </w:p>
        </w:tc>
      </w:tr>
      <w:tr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无合规支撑</w:t>
            </w:r>
          </w:p>
        </w:tc>
        <w:tc>
          <w:tcPr>
            <w:tcW w:w="5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EU AI Act 要求高风险 AI 系统保留至少 6 个月技术日志，目前无工具支持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影响分析：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65"/>
        <w:gridCol w:w="5715"/>
      </w:tblGrid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影响维度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具体影响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金钱成本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单次事故损失从 $4.7 万（token 超支）到 £1500 万（贷款欺诈），大公司平均损失超过 $100 万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数据/资产损失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2.5 年数据永久丢失、1200+ 高管数据被删、4000 条虚假数据生成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合规罚款风险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EU AI Act 违规罚款最高可达全球年营收的 7%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信任危机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88% 的组织报告过去一年发生过 AI agent 安全事故，阻碍 agent 在关键业务中的采用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2.4 问题验证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trike w:val="true"/>
          <w:color w:val="646a73"/>
          <w:sz w:val="22"/>
        </w:rPr>
        <w:t>数据支持</w:t>
      </w:r>
      <w:r>
        <w:rPr>
          <w:rFonts w:eastAsia="等线" w:ascii="Arial" w:cs="Arial" w:hAnsi="Arial"/>
          <w:strike w:val="true"/>
          <w:color w:val="646a73"/>
          <w:sz w:val="22"/>
        </w:rPr>
        <w:t>：88% 的组织报告过去一年发生过 AI agent 安全事故（2025 年行业报告）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trike w:val="true"/>
          <w:color w:val="646a73"/>
          <w:sz w:val="22"/>
        </w:rPr>
        <w:t>真实事故</w:t>
      </w:r>
      <w:r>
        <w:rPr>
          <w:rFonts w:eastAsia="等线" w:ascii="Arial" w:cs="Arial" w:hAnsi="Arial"/>
          <w:strike w:val="true"/>
          <w:color w:val="646a73"/>
          <w:sz w:val="22"/>
        </w:rPr>
        <w:t>：5+ 起公开记录的重大事故（贷款欺诈 £15M、token 账单 $47K、删库、数据篡改、MCP 投毒 84.2% 成功率）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trike w:val="true"/>
          <w:color w:val="646a73"/>
          <w:sz w:val="22"/>
        </w:rPr>
        <w:t>监管时间表</w:t>
      </w:r>
      <w:r>
        <w:rPr>
          <w:rFonts w:eastAsia="等线" w:ascii="Arial" w:cs="Arial" w:hAnsi="Arial"/>
          <w:strike w:val="true"/>
          <w:color w:val="646a73"/>
          <w:sz w:val="22"/>
        </w:rPr>
        <w:t>：EU AI Act Article 12/19，2026 年 8 月正式执法，高风险 AI 系统必须具备技术日志能力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trike w:val="true"/>
          <w:color w:val="646a73"/>
          <w:sz w:val="22"/>
        </w:rPr>
        <w:t>资本验证</w:t>
      </w:r>
      <w:r>
        <w:rPr>
          <w:rFonts w:eastAsia="等线" w:ascii="Arial" w:cs="Arial" w:hAnsi="Arial"/>
          <w:strike w:val="true"/>
          <w:color w:val="646a73"/>
          <w:sz w:val="22"/>
        </w:rPr>
        <w:t>：Lakera 被 Check Point 收购（$30M 融资后被收购）、Sapiom $15.75M 种子轮、Operant AI $13.5M（Felicis 领投）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trike w:val="true"/>
          <w:color w:val="646a73"/>
          <w:sz w:val="22"/>
        </w:rPr>
        <w:t>社媒讨论</w:t>
      </w:r>
      <w:r>
        <w:rPr>
          <w:rFonts w:eastAsia="等线" w:ascii="Arial" w:cs="Arial" w:hAnsi="Arial"/>
          <w:strike w:val="true"/>
          <w:color w:val="646a73"/>
          <w:sz w:val="22"/>
        </w:rPr>
        <w:t>：Claude Code 删库事件在 Twitter/HackerNews 引发大量讨论；MCP 安全问题被安全研究社区广泛关注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2.5 当前竞品方案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市场头部产品：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Runtime 监控：Operant AI（Agent ScopeGuard）、Rune、SandboxAQ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Policy Engine：PolicyLayer（Intercept）、AgentGuard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Prompt Injection 防护：Lakera Guard（已被 Check Point 收购）、Snyk Evo Agent Guard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审计日志：AgentReceipt、AgentTraceHQ、SealVera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支付安全：Sapiom、AgentPay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"非产品"解决方案：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手动在代码中添加 logging（无法保证不可篡改性）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自建审批流程（开发成本高，且不系统化）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完全禁止 agent 执行敏感操作（放弃了 agent 的核心价值）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 竞品调研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3.1 竞品类型识别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直接竞品：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AgentGuard</w:t>
      </w:r>
      <w:r>
        <w:rPr>
          <w:rFonts w:eastAsia="等线" w:ascii="Arial" w:cs="Arial" w:hAnsi="Arial"/>
          <w:sz w:val="22"/>
        </w:rPr>
        <w:t xml:space="preserve"> — 最接近"全栈"的 agent 安全方案（CI/CD Gate + Runtime 策略 + 合规审计）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AgentReceipt / AgentTraceHQ</w:t>
      </w:r>
      <w:r>
        <w:rPr>
          <w:rFonts w:eastAsia="等线" w:ascii="Arial" w:cs="Arial" w:hAnsi="Arial"/>
          <w:sz w:val="22"/>
        </w:rPr>
        <w:t xml:space="preserve"> — 专注审计日志，3 行代码集成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Operant AI</w:t>
      </w:r>
      <w:r>
        <w:rPr>
          <w:rFonts w:eastAsia="等线" w:ascii="Arial" w:cs="Arial" w:hAnsi="Arial"/>
          <w:sz w:val="22"/>
        </w:rPr>
        <w:t xml:space="preserve"> — 实时检测/阻断 agent 越权行为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间接竞品：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Lakera Guard</w:t>
      </w:r>
      <w:r>
        <w:rPr>
          <w:rFonts w:eastAsia="等线" w:ascii="Arial" w:cs="Arial" w:hAnsi="Arial"/>
          <w:sz w:val="22"/>
        </w:rPr>
        <w:t>（已被 Check Point 收购）— 专注 prompt injection 防护，验证了赛道价值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PolicyLayer (Intercept)</w:t>
      </w:r>
      <w:r>
        <w:rPr>
          <w:rFonts w:eastAsia="等线" w:ascii="Arial" w:cs="Arial" w:hAnsi="Arial"/>
          <w:sz w:val="22"/>
        </w:rPr>
        <w:t xml:space="preserve"> — 专注 MCP 协议层策略，不覆盖审计和身份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Snyk Evo Agent Guard</w:t>
      </w:r>
      <w:r>
        <w:rPr>
          <w:rFonts w:eastAsia="等线" w:ascii="Arial" w:cs="Arial" w:hAnsi="Arial"/>
          <w:sz w:val="22"/>
        </w:rPr>
        <w:t xml:space="preserve"> — 绑定开发者安全生态，专注 coding agent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替代方案：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企业自建 logging + 审批流程（高成本、不标准化）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通用 APM/可观测性工具（Datadog、Splunk）加自定义 agent 追踪（不专门为 agent 设计，缺乏 hash chain、策略引擎等核心能力）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3.2 重点竞品分析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3" w:id="13"/>
      <w:r>
        <w:rPr>
          <w:rFonts w:eastAsia="等线" w:ascii="Arial" w:cs="Arial" w:hAnsi="Arial"/>
          <w:b w:val="true"/>
          <w:sz w:val="24"/>
        </w:rPr>
        <w:t>竞品 A：AgentGuard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产品定位</w:t>
      </w:r>
      <w:r>
        <w:rPr>
          <w:rFonts w:eastAsia="等线" w:ascii="Arial" w:cs="Arial" w:hAnsi="Arial"/>
          <w:sz w:val="22"/>
        </w:rPr>
        <w:t>：为部署 AI agent 的企业，提供从部署前（CI/CD Gate）到运行时（Runtime 策略）到事后（合规审计）的全链路安全。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CI/CD 阶段的安全检查（部署前 gate）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Runtime 策略执行（权限控制、行为限制）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合规审计日志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免费层可用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用户体验</w:t>
      </w:r>
      <w:r>
        <w:rPr>
          <w:rFonts w:eastAsia="等线" w:ascii="Arial" w:cs="Arial" w:hAnsi="Arial"/>
          <w:sz w:val="22"/>
        </w:rPr>
        <w:t>：覆盖面广，但作为新产品，社区影响力有限，文档和生态不够成熟。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商业模式</w:t>
      </w:r>
      <w:r>
        <w:rPr>
          <w:rFonts w:eastAsia="等线" w:ascii="Arial" w:cs="Arial" w:hAnsi="Arial"/>
          <w:sz w:val="22"/>
        </w:rPr>
        <w:t>：免费层 + 付费企业版（具体定价未公开）。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为什么值得关注</w:t>
      </w:r>
      <w:r>
        <w:rPr>
          <w:rFonts w:eastAsia="等线" w:ascii="Arial" w:cs="Arial" w:hAnsi="Arial"/>
          <w:sz w:val="22"/>
        </w:rPr>
        <w:t>：它是目前最接近"全栈"的竞品，但由于是新产品，在社区影响力和实际用户验证方面存在差距，给后来者留有窗口。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4" w:id="14"/>
      <w:r>
        <w:rPr>
          <w:rFonts w:eastAsia="等线" w:ascii="Arial" w:cs="Arial" w:hAnsi="Arial"/>
          <w:b w:val="true"/>
          <w:sz w:val="24"/>
        </w:rPr>
        <w:t>竞品 B：Operant AI（Agent ScopeGuard）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产品定位</w:t>
      </w:r>
      <w:r>
        <w:rPr>
          <w:rFonts w:eastAsia="等线" w:ascii="Arial" w:cs="Arial" w:hAnsi="Arial"/>
          <w:sz w:val="22"/>
        </w:rPr>
        <w:t>：为企业 AI agent 提供实时运行时安全监控与越权行为阻断。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实时检测 agent 越权行为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GPU 加速的异常检测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Scope 控制（agent 能做什么/不能做什么）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用户体验</w:t>
      </w:r>
      <w:r>
        <w:rPr>
          <w:rFonts w:eastAsia="等线" w:ascii="Arial" w:cs="Arial" w:hAnsi="Arial"/>
          <w:sz w:val="22"/>
        </w:rPr>
        <w:t>：重运行时，侵入性较高；Gartner 认可，企业信任度高。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商业模式</w:t>
      </w:r>
      <w:r>
        <w:rPr>
          <w:rFonts w:eastAsia="等线" w:ascii="Arial" w:cs="Arial" w:hAnsi="Arial"/>
          <w:sz w:val="22"/>
        </w:rPr>
        <w:t>：$13.5M 融资（Felicis 领投），企业 SaaS 模式。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为什么成功</w:t>
      </w:r>
      <w:r>
        <w:rPr>
          <w:rFonts w:eastAsia="等线" w:ascii="Arial" w:cs="Arial" w:hAnsi="Arial"/>
          <w:sz w:val="22"/>
        </w:rPr>
        <w:t>：专注于运行时这一最痛的环节，获得 Gartner 认可建立了企业信任。但不覆盖审计日志和合规模块。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5" w:id="15"/>
      <w:r>
        <w:rPr>
          <w:rFonts w:eastAsia="等线" w:ascii="Arial" w:cs="Arial" w:hAnsi="Arial"/>
          <w:b w:val="true"/>
          <w:sz w:val="24"/>
        </w:rPr>
        <w:t>竞品 C：AgentReceipt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产品定位</w:t>
      </w:r>
      <w:r>
        <w:rPr>
          <w:rFonts w:eastAsia="等线" w:ascii="Arial" w:cs="Arial" w:hAnsi="Arial"/>
          <w:sz w:val="22"/>
        </w:rPr>
        <w:t>：为 AI agent 开发者提供极简的不可篡改审计收据。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3 行代码集成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Hash chain + Sigstore 锚定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不可篡改审计收据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用户体验</w:t>
      </w:r>
      <w:r>
        <w:rPr>
          <w:rFonts w:eastAsia="等线" w:ascii="Arial" w:cs="Arial" w:hAnsi="Arial"/>
          <w:sz w:val="22"/>
        </w:rPr>
        <w:t>：极简，集成成本最低，但功能单一（仅审计，无策略/身份）。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商业模式</w:t>
      </w:r>
      <w:r>
        <w:rPr>
          <w:rFonts w:eastAsia="等线" w:ascii="Arial" w:cs="Arial" w:hAnsi="Arial"/>
          <w:sz w:val="22"/>
        </w:rPr>
        <w:t>：早期产品，定价未明确。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为什么值得关注</w:t>
      </w:r>
      <w:r>
        <w:rPr>
          <w:rFonts w:eastAsia="等线" w:ascii="Arial" w:cs="Arial" w:hAnsi="Arial"/>
          <w:sz w:val="22"/>
        </w:rPr>
        <w:t>：验证了"3 行代码集成"的产品模式有市场需求，但功能过于单一，无法满足合规全链路需求。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6" w:id="16"/>
      <w:r>
        <w:rPr>
          <w:rFonts w:eastAsia="等线" w:ascii="Arial" w:cs="Arial" w:hAnsi="Arial"/>
          <w:b w:val="true"/>
          <w:sz w:val="24"/>
        </w:rPr>
        <w:t>横向对比</w:t>
      </w:r>
      <w:bookmarkEnd w:id="1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对比维度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AgentGuard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Operant AI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AgentReceipt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AgentShield（我们）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用户群体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通用企业 AI agent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企业级大客户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agent 开发者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金融/支付/Crypto agent 优先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功能覆盖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全链路（CI/CD + Runtime + 审计）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运行时监控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仅审计日志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全链路+审计 + 策略 + 身份（MVP 后扩展）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性能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未公开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GPU 加速，低延迟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轻量级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目标 sub-10ms 策略检查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商业模式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免费层 + 企业版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 SaaS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早期/免费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先内部使用，后 SDK 对外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壁垒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全链路覆盖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Gartner 认可 + $13.5M 融资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先发 + 开源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Tomo 内部真实场景验证 + 金融/Crypto 垂直专长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优势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覆盖面广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企业信任度高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集成极简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自有场景验证、金融场景专注、先内后外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劣势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新产品、社区弱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重侵入、不覆盖审计合规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功能单一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早期，需要快速迭代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关键发现：</w:t>
      </w:r>
      <w:r>
        <w:rPr>
          <w:rFonts w:eastAsia="等线" w:ascii="Arial" w:cs="Arial" w:hAnsi="Arial"/>
          <w:sz w:val="22"/>
          <w:shd w:fill="fff67a"/>
        </w:rPr>
        <w:t xml:space="preserve"> 没有一家竞品同时做到全栈且专注金融/Crypto agent 场景。这是我们的机会窗口。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26216">
    <w:lvl>
      <w:start w:val="1"/>
      <w:numFmt w:val="decimal"/>
      <w:suff w:val="tab"/>
      <w:lvlText w:val="%1."/>
      <w:rPr>
        <w:color w:val="3370ff"/>
      </w:rPr>
    </w:lvl>
  </w:abstractNum>
  <w:abstractNum w:abstractNumId="226217">
    <w:lvl>
      <w:start w:val="2"/>
      <w:numFmt w:val="decimal"/>
      <w:suff w:val="tab"/>
      <w:lvlText w:val="%1."/>
      <w:rPr>
        <w:color w:val="3370ff"/>
      </w:rPr>
    </w:lvl>
  </w:abstractNum>
  <w:abstractNum w:abstractNumId="226218">
    <w:lvl>
      <w:start w:val="3"/>
      <w:numFmt w:val="decimal"/>
      <w:suff w:val="tab"/>
      <w:lvlText w:val="%1."/>
      <w:rPr>
        <w:color w:val="3370ff"/>
      </w:rPr>
    </w:lvl>
  </w:abstractNum>
  <w:abstractNum w:abstractNumId="226219">
    <w:lvl>
      <w:numFmt w:val="bullet"/>
      <w:suff w:val="space"/>
      <w:lvlText w:val="□"/>
      <w:lvlText w:val="☑"/>
    </w:lvl>
  </w:abstractNum>
  <w:abstractNum w:abstractNumId="226220">
    <w:lvl>
      <w:numFmt w:val="bullet"/>
      <w:suff w:val="space"/>
      <w:lvlText w:val="□"/>
      <w:lvlText w:val="☑"/>
    </w:lvl>
  </w:abstractNum>
  <w:abstractNum w:abstractNumId="226221">
    <w:lvl>
      <w:numFmt w:val="bullet"/>
      <w:suff w:val="space"/>
      <w:lvlText w:val="□"/>
      <w:lvlText w:val="☑"/>
    </w:lvl>
  </w:abstractNum>
  <w:abstractNum w:abstractNumId="226222">
    <w:lvl>
      <w:numFmt w:val="bullet"/>
      <w:suff w:val="space"/>
      <w:lvlText w:val="□"/>
      <w:lvlText w:val="☑"/>
    </w:lvl>
  </w:abstractNum>
  <w:abstractNum w:abstractNumId="226223">
    <w:lvl>
      <w:numFmt w:val="bullet"/>
      <w:suff w:val="space"/>
      <w:lvlText w:val="□"/>
      <w:lvlText w:val="☑"/>
    </w:lvl>
  </w:abstractNum>
  <w:abstractNum w:abstractNumId="226224">
    <w:lvl>
      <w:numFmt w:val="bullet"/>
      <w:suff w:val="tab"/>
      <w:lvlText w:val="•"/>
      <w:rPr>
        <w:color w:val="3370ff"/>
      </w:rPr>
    </w:lvl>
  </w:abstractNum>
  <w:abstractNum w:abstractNumId="226225">
    <w:lvl>
      <w:numFmt w:val="bullet"/>
      <w:suff w:val="tab"/>
      <w:lvlText w:val="•"/>
      <w:rPr>
        <w:color w:val="3370ff"/>
      </w:rPr>
    </w:lvl>
  </w:abstractNum>
  <w:abstractNum w:abstractNumId="226226">
    <w:lvl>
      <w:numFmt w:val="bullet"/>
      <w:suff w:val="tab"/>
      <w:lvlText w:val="•"/>
      <w:rPr>
        <w:color w:val="3370ff"/>
      </w:rPr>
    </w:lvl>
  </w:abstractNum>
  <w:abstractNum w:abstractNumId="226227">
    <w:lvl>
      <w:numFmt w:val="bullet"/>
      <w:suff w:val="tab"/>
      <w:lvlText w:val="•"/>
      <w:rPr>
        <w:color w:val="3370ff"/>
      </w:rPr>
    </w:lvl>
  </w:abstractNum>
  <w:abstractNum w:abstractNumId="226228">
    <w:lvl>
      <w:numFmt w:val="bullet"/>
      <w:suff w:val="tab"/>
      <w:lvlText w:val="•"/>
      <w:rPr>
        <w:color w:val="3370ff"/>
      </w:rPr>
    </w:lvl>
  </w:abstractNum>
  <w:abstractNum w:abstractNumId="226229">
    <w:lvl>
      <w:numFmt w:val="bullet"/>
      <w:suff w:val="tab"/>
      <w:lvlText w:val="•"/>
      <w:rPr>
        <w:color w:val="3370ff"/>
      </w:rPr>
    </w:lvl>
  </w:abstractNum>
  <w:abstractNum w:abstractNumId="226230">
    <w:lvl>
      <w:numFmt w:val="bullet"/>
      <w:suff w:val="tab"/>
      <w:lvlText w:val="•"/>
      <w:rPr>
        <w:color w:val="3370ff"/>
      </w:rPr>
    </w:lvl>
  </w:abstractNum>
  <w:abstractNum w:abstractNumId="226231">
    <w:lvl>
      <w:numFmt w:val="bullet"/>
      <w:suff w:val="tab"/>
      <w:lvlText w:val="•"/>
      <w:rPr>
        <w:color w:val="3370ff"/>
      </w:rPr>
    </w:lvl>
  </w:abstractNum>
  <w:abstractNum w:abstractNumId="226232">
    <w:lvl>
      <w:numFmt w:val="bullet"/>
      <w:suff w:val="tab"/>
      <w:lvlText w:val="•"/>
      <w:rPr>
        <w:color w:val="3370ff"/>
      </w:rPr>
    </w:lvl>
  </w:abstractNum>
  <w:abstractNum w:abstractNumId="226233">
    <w:lvl>
      <w:numFmt w:val="bullet"/>
      <w:suff w:val="tab"/>
      <w:lvlText w:val="•"/>
      <w:rPr>
        <w:color w:val="3370ff"/>
      </w:rPr>
    </w:lvl>
  </w:abstractNum>
  <w:abstractNum w:abstractNumId="226234">
    <w:lvl>
      <w:numFmt w:val="bullet"/>
      <w:suff w:val="tab"/>
      <w:lvlText w:val="•"/>
      <w:rPr>
        <w:color w:val="3370ff"/>
      </w:rPr>
    </w:lvl>
  </w:abstractNum>
  <w:abstractNum w:abstractNumId="226235">
    <w:lvl>
      <w:numFmt w:val="bullet"/>
      <w:suff w:val="tab"/>
      <w:lvlText w:val="•"/>
      <w:rPr>
        <w:color w:val="3370ff"/>
      </w:rPr>
    </w:lvl>
  </w:abstractNum>
  <w:abstractNum w:abstractNumId="226236">
    <w:lvl>
      <w:numFmt w:val="bullet"/>
      <w:suff w:val="tab"/>
      <w:lvlText w:val="•"/>
      <w:rPr>
        <w:color w:val="3370ff"/>
      </w:rPr>
    </w:lvl>
  </w:abstractNum>
  <w:abstractNum w:abstractNumId="226237">
    <w:lvl>
      <w:numFmt w:val="bullet"/>
      <w:suff w:val="tab"/>
      <w:lvlText w:val="•"/>
      <w:rPr>
        <w:color w:val="3370ff"/>
      </w:rPr>
    </w:lvl>
  </w:abstractNum>
  <w:abstractNum w:abstractNumId="226238">
    <w:lvl>
      <w:numFmt w:val="bullet"/>
      <w:suff w:val="tab"/>
      <w:lvlText w:val="•"/>
      <w:rPr>
        <w:color w:val="3370ff"/>
      </w:rPr>
    </w:lvl>
  </w:abstractNum>
  <w:abstractNum w:abstractNumId="226239">
    <w:lvl>
      <w:numFmt w:val="bullet"/>
      <w:suff w:val="tab"/>
      <w:lvlText w:val="•"/>
      <w:rPr>
        <w:color w:val="3370ff"/>
      </w:rPr>
    </w:lvl>
  </w:abstractNum>
  <w:abstractNum w:abstractNumId="226240">
    <w:lvl>
      <w:start w:val="1"/>
      <w:numFmt w:val="decimal"/>
      <w:suff w:val="tab"/>
      <w:lvlText w:val="%1."/>
      <w:rPr>
        <w:color w:val="3370ff"/>
      </w:rPr>
    </w:lvl>
  </w:abstractNum>
  <w:abstractNum w:abstractNumId="226241">
    <w:lvl>
      <w:start w:val="2"/>
      <w:numFmt w:val="decimal"/>
      <w:suff w:val="tab"/>
      <w:lvlText w:val="%1."/>
      <w:rPr>
        <w:color w:val="3370ff"/>
      </w:rPr>
    </w:lvl>
  </w:abstractNum>
  <w:abstractNum w:abstractNumId="226242">
    <w:lvl>
      <w:numFmt w:val="bullet"/>
      <w:suff w:val="tab"/>
      <w:lvlText w:val="￮"/>
      <w:rPr>
        <w:color w:val="3370ff"/>
      </w:rPr>
    </w:lvl>
  </w:abstractNum>
  <w:abstractNum w:abstractNumId="226243">
    <w:lvl>
      <w:numFmt w:val="bullet"/>
      <w:suff w:val="tab"/>
      <w:lvlText w:val="￮"/>
      <w:rPr>
        <w:color w:val="3370ff"/>
      </w:rPr>
    </w:lvl>
  </w:abstractNum>
  <w:abstractNum w:abstractNumId="226244">
    <w:lvl>
      <w:numFmt w:val="bullet"/>
      <w:suff w:val="tab"/>
      <w:lvlText w:val="￮"/>
      <w:rPr>
        <w:color w:val="3370ff"/>
      </w:rPr>
    </w:lvl>
  </w:abstractNum>
  <w:abstractNum w:abstractNumId="226245">
    <w:lvl>
      <w:numFmt w:val="bullet"/>
      <w:suff w:val="tab"/>
      <w:lvlText w:val="￮"/>
      <w:rPr>
        <w:color w:val="3370ff"/>
      </w:rPr>
    </w:lvl>
  </w:abstractNum>
  <w:abstractNum w:abstractNumId="226246">
    <w:lvl>
      <w:start w:val="3"/>
      <w:numFmt w:val="decimal"/>
      <w:suff w:val="tab"/>
      <w:lvlText w:val="%1."/>
      <w:rPr>
        <w:color w:val="3370ff"/>
      </w:rPr>
    </w:lvl>
  </w:abstractNum>
  <w:abstractNum w:abstractNumId="226247">
    <w:lvl>
      <w:start w:val="4"/>
      <w:numFmt w:val="decimal"/>
      <w:suff w:val="tab"/>
      <w:lvlText w:val="%1."/>
      <w:rPr>
        <w:color w:val="3370ff"/>
      </w:rPr>
    </w:lvl>
  </w:abstractNum>
  <w:abstractNum w:abstractNumId="226248">
    <w:lvl>
      <w:start w:val="5"/>
      <w:numFmt w:val="decimal"/>
      <w:suff w:val="tab"/>
      <w:lvlText w:val="%1."/>
      <w:rPr>
        <w:color w:val="3370ff"/>
      </w:rPr>
    </w:lvl>
  </w:abstractNum>
  <w:abstractNum w:abstractNumId="226249">
    <w:lvl>
      <w:start w:val="1"/>
      <w:numFmt w:val="decimal"/>
      <w:suff w:val="tab"/>
      <w:lvlText w:val="%1."/>
      <w:rPr>
        <w:color w:val="3370ff"/>
      </w:rPr>
    </w:lvl>
  </w:abstractNum>
  <w:abstractNum w:abstractNumId="226250">
    <w:lvl>
      <w:start w:val="2"/>
      <w:numFmt w:val="decimal"/>
      <w:suff w:val="tab"/>
      <w:lvlText w:val="%1."/>
      <w:rPr>
        <w:color w:val="3370ff"/>
      </w:rPr>
    </w:lvl>
  </w:abstractNum>
  <w:abstractNum w:abstractNumId="226251">
    <w:lvl>
      <w:numFmt w:val="bullet"/>
      <w:suff w:val="tab"/>
      <w:lvlText w:val="￮"/>
      <w:rPr>
        <w:color w:val="3370ff"/>
      </w:rPr>
    </w:lvl>
  </w:abstractNum>
  <w:abstractNum w:abstractNumId="226252">
    <w:lvl>
      <w:numFmt w:val="bullet"/>
      <w:suff w:val="tab"/>
      <w:lvlText w:val="￮"/>
      <w:rPr>
        <w:color w:val="3370ff"/>
      </w:rPr>
    </w:lvl>
  </w:abstractNum>
  <w:abstractNum w:abstractNumId="226253">
    <w:lvl>
      <w:numFmt w:val="bullet"/>
      <w:suff w:val="tab"/>
      <w:lvlText w:val="￮"/>
      <w:rPr>
        <w:color w:val="3370ff"/>
      </w:rPr>
    </w:lvl>
  </w:abstractNum>
  <w:abstractNum w:abstractNumId="226254">
    <w:lvl>
      <w:start w:val="3"/>
      <w:numFmt w:val="decimal"/>
      <w:suff w:val="tab"/>
      <w:lvlText w:val="%1."/>
      <w:rPr>
        <w:color w:val="3370ff"/>
      </w:rPr>
    </w:lvl>
  </w:abstractNum>
  <w:abstractNum w:abstractNumId="226255">
    <w:lvl>
      <w:start w:val="4"/>
      <w:numFmt w:val="decimal"/>
      <w:suff w:val="tab"/>
      <w:lvlText w:val="%1."/>
      <w:rPr>
        <w:color w:val="3370ff"/>
      </w:rPr>
    </w:lvl>
  </w:abstractNum>
  <w:abstractNum w:abstractNumId="226256">
    <w:lvl>
      <w:start w:val="5"/>
      <w:numFmt w:val="decimal"/>
      <w:suff w:val="tab"/>
      <w:lvlText w:val="%1."/>
      <w:rPr>
        <w:color w:val="3370ff"/>
      </w:rPr>
    </w:lvl>
  </w:abstractNum>
  <w:abstractNum w:abstractNumId="226257">
    <w:lvl>
      <w:start w:val="1"/>
      <w:numFmt w:val="decimal"/>
      <w:suff w:val="tab"/>
      <w:lvlText w:val="%1."/>
      <w:rPr>
        <w:color w:val="3370ff"/>
      </w:rPr>
    </w:lvl>
  </w:abstractNum>
  <w:abstractNum w:abstractNumId="226258">
    <w:lvl>
      <w:start w:val="2"/>
      <w:numFmt w:val="decimal"/>
      <w:suff w:val="tab"/>
      <w:lvlText w:val="%1."/>
      <w:rPr>
        <w:color w:val="3370ff"/>
      </w:rPr>
    </w:lvl>
  </w:abstractNum>
  <w:abstractNum w:abstractNumId="226259">
    <w:lvl>
      <w:numFmt w:val="bullet"/>
      <w:suff w:val="tab"/>
      <w:lvlText w:val="￮"/>
      <w:rPr>
        <w:color w:val="3370ff"/>
      </w:rPr>
    </w:lvl>
  </w:abstractNum>
  <w:abstractNum w:abstractNumId="226260">
    <w:lvl>
      <w:numFmt w:val="bullet"/>
      <w:suff w:val="tab"/>
      <w:lvlText w:val="￮"/>
      <w:rPr>
        <w:color w:val="3370ff"/>
      </w:rPr>
    </w:lvl>
  </w:abstractNum>
  <w:abstractNum w:abstractNumId="226261">
    <w:lvl>
      <w:numFmt w:val="bullet"/>
      <w:suff w:val="tab"/>
      <w:lvlText w:val="￮"/>
      <w:rPr>
        <w:color w:val="3370ff"/>
      </w:rPr>
    </w:lvl>
  </w:abstractNum>
  <w:abstractNum w:abstractNumId="226262">
    <w:lvl>
      <w:start w:val="3"/>
      <w:numFmt w:val="decimal"/>
      <w:suff w:val="tab"/>
      <w:lvlText w:val="%1."/>
      <w:rPr>
        <w:color w:val="3370ff"/>
      </w:rPr>
    </w:lvl>
  </w:abstractNum>
  <w:abstractNum w:abstractNumId="226263">
    <w:lvl>
      <w:start w:val="4"/>
      <w:numFmt w:val="decimal"/>
      <w:suff w:val="tab"/>
      <w:lvlText w:val="%1."/>
      <w:rPr>
        <w:color w:val="3370ff"/>
      </w:rPr>
    </w:lvl>
  </w:abstractNum>
  <w:abstractNum w:abstractNumId="226264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226216"/>
  </w:num>
  <w:num w:numId="2">
    <w:abstractNumId w:val="226217"/>
  </w:num>
  <w:num w:numId="3">
    <w:abstractNumId w:val="226218"/>
  </w:num>
  <w:num w:numId="4">
    <w:abstractNumId w:val="226219"/>
  </w:num>
  <w:num w:numId="5">
    <w:abstractNumId w:val="226220"/>
  </w:num>
  <w:num w:numId="6">
    <w:abstractNumId w:val="226221"/>
  </w:num>
  <w:num w:numId="7">
    <w:abstractNumId w:val="226222"/>
  </w:num>
  <w:num w:numId="8">
    <w:abstractNumId w:val="226223"/>
  </w:num>
  <w:num w:numId="9">
    <w:abstractNumId w:val="226224"/>
  </w:num>
  <w:num w:numId="10">
    <w:abstractNumId w:val="226225"/>
  </w:num>
  <w:num w:numId="11">
    <w:abstractNumId w:val="226226"/>
  </w:num>
  <w:num w:numId="12">
    <w:abstractNumId w:val="226227"/>
  </w:num>
  <w:num w:numId="13">
    <w:abstractNumId w:val="226228"/>
  </w:num>
  <w:num w:numId="14">
    <w:abstractNumId w:val="226229"/>
  </w:num>
  <w:num w:numId="15">
    <w:abstractNumId w:val="226230"/>
  </w:num>
  <w:num w:numId="16">
    <w:abstractNumId w:val="226231"/>
  </w:num>
  <w:num w:numId="17">
    <w:abstractNumId w:val="226232"/>
  </w:num>
  <w:num w:numId="18">
    <w:abstractNumId w:val="226233"/>
  </w:num>
  <w:num w:numId="19">
    <w:abstractNumId w:val="226234"/>
  </w:num>
  <w:num w:numId="20">
    <w:abstractNumId w:val="226235"/>
  </w:num>
  <w:num w:numId="21">
    <w:abstractNumId w:val="226236"/>
  </w:num>
  <w:num w:numId="22">
    <w:abstractNumId w:val="226237"/>
  </w:num>
  <w:num w:numId="23">
    <w:abstractNumId w:val="226238"/>
  </w:num>
  <w:num w:numId="24">
    <w:abstractNumId w:val="226239"/>
  </w:num>
  <w:num w:numId="25">
    <w:abstractNumId w:val="226240"/>
  </w:num>
  <w:num w:numId="26">
    <w:abstractNumId w:val="226241"/>
  </w:num>
  <w:num w:numId="27">
    <w:abstractNumId w:val="226242"/>
  </w:num>
  <w:num w:numId="28">
    <w:abstractNumId w:val="226243"/>
  </w:num>
  <w:num w:numId="29">
    <w:abstractNumId w:val="226244"/>
  </w:num>
  <w:num w:numId="30">
    <w:abstractNumId w:val="226245"/>
  </w:num>
  <w:num w:numId="31">
    <w:abstractNumId w:val="226246"/>
  </w:num>
  <w:num w:numId="32">
    <w:abstractNumId w:val="226247"/>
  </w:num>
  <w:num w:numId="33">
    <w:abstractNumId w:val="226248"/>
  </w:num>
  <w:num w:numId="34">
    <w:abstractNumId w:val="226249"/>
  </w:num>
  <w:num w:numId="35">
    <w:abstractNumId w:val="226250"/>
  </w:num>
  <w:num w:numId="36">
    <w:abstractNumId w:val="226251"/>
  </w:num>
  <w:num w:numId="37">
    <w:abstractNumId w:val="226252"/>
  </w:num>
  <w:num w:numId="38">
    <w:abstractNumId w:val="226253"/>
  </w:num>
  <w:num w:numId="39">
    <w:abstractNumId w:val="226254"/>
  </w:num>
  <w:num w:numId="40">
    <w:abstractNumId w:val="226255"/>
  </w:num>
  <w:num w:numId="41">
    <w:abstractNumId w:val="226256"/>
  </w:num>
  <w:num w:numId="42">
    <w:abstractNumId w:val="226257"/>
  </w:num>
  <w:num w:numId="43">
    <w:abstractNumId w:val="226258"/>
  </w:num>
  <w:num w:numId="44">
    <w:abstractNumId w:val="226259"/>
  </w:num>
  <w:num w:numId="45">
    <w:abstractNumId w:val="226260"/>
  </w:num>
  <w:num w:numId="46">
    <w:abstractNumId w:val="226261"/>
  </w:num>
  <w:num w:numId="47">
    <w:abstractNumId w:val="226262"/>
  </w:num>
  <w:num w:numId="48">
    <w:abstractNumId w:val="226263"/>
  </w:num>
  <w:num w:numId="49">
    <w:abstractNumId w:val="22626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2026-03-27T01:11:38Z</dcterms:created>
  <dc:creator>Apache POI</dc:creator>
</cp:coreProperties>
</file>