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5. Fan Vote Estimation: From Regression to Inverse Optimization</w:t>
      </w:r>
    </w:p>
    <w:p>
      <w:pPr>
        <w:jc w:val="both"/>
      </w:pPr>
      <w:r>
        <w:rPr>
          <w:rFonts w:ascii="Times New Roman" w:hAnsi="Times New Roman"/>
        </w:rPr>
        <w:t>Quantifying the 'Dark Matter' (Fan Votes) is the core challenge. Our modeling process followed a rigorous scientific evolution: we initially attempted a 'Forward Prediction' approach (Baseline) but found it insufficient due to the lack of ground truth. Consequently, we pivoted to an 'Inverse Optimization' framework.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5.1 The Baseline Attempt: Forward Prediction</w:t>
      </w:r>
    </w:p>
    <w:p>
      <w:pPr>
        <w:jc w:val="both"/>
      </w:pPr>
      <w:r>
        <w:rPr>
          <w:rFonts w:ascii="Times New Roman" w:hAnsi="Times New Roman"/>
          <w:b/>
        </w:rPr>
        <w:t>Hypothesis 1:</w:t>
      </w:r>
      <w:r>
        <w:t xml:space="preserve"> Initially, we hypothesized that fan votes could be directly predicted from observable features. We constructed a standard Regression Model:</w:t>
      </w:r>
    </w:p>
    <w:p>
      <w:pPr>
        <w:tabs>
          <w:tab w:pos="4680" w:val="center"/>
          <w:tab w:pos="9360" w:val="right"/>
        </w:tabs>
      </w:pPr>
      <w:r>
        <w:rPr>
          <w:rFonts w:ascii="Cambria Math" w:hAnsi="Cambria Math"/>
          <w:i/>
          <w:sz w:val="24"/>
        </w:rPr>
        <w:tab/>
        <w:t>F_(c,t) = β_0 + β_1·Social_(c,t) + β_2·J_(c,t) + ε</w:t>
        <w:tab/>
      </w:r>
      <w:r>
        <w:rPr>
          <w:rFonts w:ascii="Times New Roman" w:hAnsi="Times New Roman"/>
          <w:i w:val="0"/>
        </w:rPr>
        <w:t>(5.1)</w:t>
      </w:r>
    </w:p>
    <w:p>
      <w:pPr>
        <w:jc w:val="both"/>
      </w:pPr>
      <w:r>
        <w:rPr>
          <w:rFonts w:ascii="Times New Roman" w:hAnsi="Times New Roman"/>
        </w:rPr>
        <w:t>However, without actual vote counts to validate the weights (β), this model suffered from the 'Ground Truth Paradox'. As shown in Figure 5.1, it frequently violated the fundamental 'Survival Rule'.</w:t>
      </w:r>
    </w:p>
    <w:p>
      <w:pPr>
        <w:jc w:val="center"/>
      </w:pPr>
      <w:r>
        <w:rPr>
          <w:b/>
          <w:color w:val="C80000"/>
        </w:rPr>
        <w:t>[INSERT IMAGE HERE: fig_teammate]</w:t>
      </w:r>
    </w:p>
    <w:p>
      <w:pPr>
        <w:jc w:val="center"/>
      </w:pPr>
      <w:r>
        <w:rPr>
          <w:b/>
        </w:rPr>
        <w:t>Figure 5.1: Failure of the Baseline Model. The predictions fluctuate chaotically.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5.2 The Solution: Inverse Optimization Framework</w:t>
      </w:r>
    </w:p>
    <w:p>
      <w:pPr>
        <w:jc w:val="both"/>
      </w:pPr>
      <w:r>
        <w:rPr>
          <w:rFonts w:ascii="Times New Roman" w:hAnsi="Times New Roman"/>
          <w:b/>
        </w:rPr>
        <w:t>Hypothesis 2:</w:t>
      </w:r>
      <w:r>
        <w:t xml:space="preserve"> To resolve these contradictions, we reframed the problem as an Inverse Problem: 'What is the most likely fan vote distribution that mathematically satisfies all historical elimination constraints?'</w:t>
      </w:r>
    </w:p>
    <w:p>
      <w:r>
        <w:drawing>
          <wp:inline xmlns:a="http://schemas.openxmlformats.org/drawingml/2006/main" xmlns:pic="http://schemas.openxmlformats.org/drawingml/2006/picture">
            <wp:extent cx="5029200" cy="2666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chart_Desig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5.2: The Architecture of the Inverse Optimization Model.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5.3 Mathematical Formulation</w:t>
      </w:r>
    </w:p>
    <w:p>
      <w:pPr>
        <w:jc w:val="both"/>
      </w:pPr>
      <w:r>
        <w:rPr>
          <w:rFonts w:ascii="Times New Roman" w:hAnsi="Times New Roman"/>
        </w:rPr>
        <w:t>We define the constraints based on the specific rules of different eras.</w:t>
      </w:r>
    </w:p>
    <w:p>
      <w:pPr>
        <w:jc w:val="both"/>
      </w:pPr>
      <w:r>
        <w:rPr>
          <w:rFonts w:ascii="Times New Roman" w:hAnsi="Times New Roman"/>
          <w:b/>
        </w:rPr>
        <w:t>Constraint A:</w:t>
      </w:r>
      <w:r>
        <w:t xml:space="preserve"> Scenario I: The Percent Era (S3-S27).</w:t>
      </w:r>
    </w:p>
    <w:p>
      <w:pPr>
        <w:tabs>
          <w:tab w:pos="4680" w:val="center"/>
          <w:tab w:pos="9360" w:val="right"/>
        </w:tabs>
      </w:pPr>
      <w:r>
        <w:rPr>
          <w:rFonts w:ascii="Cambria Math" w:hAnsi="Cambria Math"/>
          <w:i/>
          <w:sz w:val="24"/>
        </w:rPr>
        <w:tab/>
        <w:t>α·J_(s,t) + (1-α)·F_(s,t) ≥ α·J_(e,t) + (1-α)·F_(e,t) - ξ</w:t>
        <w:tab/>
      </w:r>
      <w:r>
        <w:rPr>
          <w:rFonts w:ascii="Times New Roman" w:hAnsi="Times New Roman"/>
          <w:i w:val="0"/>
        </w:rPr>
        <w:t>(5.2)</w:t>
      </w:r>
    </w:p>
    <w:p>
      <w:pPr>
        <w:jc w:val="both"/>
      </w:pPr>
      <w:r>
        <w:rPr>
          <w:rFonts w:ascii="Times New Roman" w:hAnsi="Times New Roman"/>
          <w:b/>
        </w:rPr>
        <w:t>Constraint B:</w:t>
      </w:r>
      <w:r>
        <w:t xml:space="preserve"> Scenario II: The Rank Era (S1-S2, S28+).</w:t>
      </w:r>
    </w:p>
    <w:p>
      <w:pPr>
        <w:tabs>
          <w:tab w:pos="4680" w:val="center"/>
          <w:tab w:pos="9360" w:val="right"/>
        </w:tabs>
      </w:pPr>
      <w:r>
        <w:rPr>
          <w:rFonts w:ascii="Cambria Math" w:hAnsi="Cambria Math"/>
          <w:i/>
          <w:sz w:val="24"/>
        </w:rPr>
        <w:tab/>
        <w:t>Rank(J_(s,t)) + Rank(F_(s,t)) ≤ Rank(J_(e,t)) + Rank(F_(e,t)) + ξ</w:t>
        <w:tab/>
      </w:r>
      <w:r>
        <w:rPr>
          <w:rFonts w:ascii="Times New Roman" w:hAnsi="Times New Roman"/>
          <w:i w:val="0"/>
        </w:rPr>
        <w:t>(5.3)</w:t>
      </w:r>
    </w:p>
    <w:p>
      <w:pPr>
        <w:jc w:val="both"/>
      </w:pPr>
      <w:r>
        <w:rPr>
          <w:rFonts w:ascii="Times New Roman" w:hAnsi="Times New Roman"/>
          <w:b/>
        </w:rPr>
        <w:t>Objective Function:</w:t>
      </w:r>
      <w:r>
        <w:t xml:space="preserve"> We apply Temporal Smoothness to find the most probable trajectory. We solve the following Regularized QP problem:</w:t>
      </w:r>
    </w:p>
    <w:p>
      <w:pPr>
        <w:tabs>
          <w:tab w:pos="4680" w:val="center"/>
          <w:tab w:pos="9360" w:val="right"/>
        </w:tabs>
      </w:pPr>
      <w:r>
        <w:rPr>
          <w:rFonts w:ascii="Cambria Math" w:hAnsi="Cambria Math"/>
          <w:i/>
          <w:sz w:val="24"/>
        </w:rPr>
        <w:tab/>
        <w:t>Minimize Z = ∑ ξ^2 + λ ∑ ||F_(c,t) - F_(c,t-1)||^2</w:t>
        <w:tab/>
      </w:r>
      <w:r>
        <w:rPr>
          <w:rFonts w:ascii="Times New Roman" w:hAnsi="Times New Roman"/>
          <w:i w:val="0"/>
        </w:rPr>
        <w:t>(5.4)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5.4 Empirical Results: Unveiling the Dynamics</w:t>
      </w:r>
    </w:p>
    <w:p>
      <w:pPr>
        <w:jc w:val="both"/>
      </w:pPr>
      <w:r>
        <w:rPr>
          <w:rFonts w:ascii="Times New Roman" w:hAnsi="Times New Roman"/>
        </w:rPr>
        <w:t>By solving Eq. 5.4, we reconstructed the latent popularity trajectories. Figure 5.3 reveals smooth, interpretable trends.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ic_line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5.3: Reconstructed Latent Fan Vote Trajectories.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ic_ba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5.4: Discrepancy Analysis.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5.5 Comparative Analysis &amp; Validation</w:t>
      </w:r>
    </w:p>
    <w:p>
      <w:pPr>
        <w:jc w:val="both"/>
      </w:pPr>
      <w:r>
        <w:rPr>
          <w:rFonts w:ascii="Times New Roman" w:hAnsi="Times New Roman"/>
        </w:rPr>
        <w:t>Table 5.1 compares the Proposed Inverse Model against the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 (Forward)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Proposed (Inverse)</w:t>
            </w:r>
          </w:p>
        </w:tc>
      </w:tr>
      <w:tr>
        <w:tc>
          <w:tcPr>
            <w:tcW w:type="dxa" w:w="2880"/>
          </w:tcPr>
          <w:p>
            <w:r>
              <w:t>Logical Consistency</w:t>
            </w:r>
          </w:p>
        </w:tc>
        <w:tc>
          <w:tcPr>
            <w:tcW w:type="dxa" w:w="2880"/>
          </w:tcPr>
          <w:p>
            <w:r>
              <w:t>Violates Rules (~15% Error)</w:t>
            </w:r>
          </w:p>
        </w:tc>
        <w:tc>
          <w:tcPr>
            <w:tcW w:type="dxa" w:w="2880"/>
          </w:tcPr>
          <w:p>
            <w:r>
              <w:t>Strictly Satisfied (0% Error)</w:t>
            </w:r>
          </w:p>
        </w:tc>
      </w:tr>
      <w:tr>
        <w:tc>
          <w:tcPr>
            <w:tcW w:type="dxa" w:w="2880"/>
          </w:tcPr>
          <w:p>
            <w:r>
              <w:t>Trajectory Nature</w:t>
            </w:r>
          </w:p>
        </w:tc>
        <w:tc>
          <w:tcPr>
            <w:tcW w:type="dxa" w:w="2880"/>
          </w:tcPr>
          <w:p>
            <w:r>
              <w:t>Chaotic &amp; Random</w:t>
            </w:r>
          </w:p>
        </w:tc>
        <w:tc>
          <w:tcPr>
            <w:tcW w:type="dxa" w:w="2880"/>
          </w:tcPr>
          <w:p>
            <w:r>
              <w:t>Smooth &amp; Dynamic</w:t>
            </w:r>
          </w:p>
        </w:tc>
      </w:tr>
      <w:tr>
        <w:tc>
          <w:tcPr>
            <w:tcW w:type="dxa" w:w="2880"/>
          </w:tcPr>
          <w:p>
            <w:r>
              <w:t>Uncertainty Output</w:t>
            </w:r>
          </w:p>
        </w:tc>
        <w:tc>
          <w:tcPr>
            <w:tcW w:type="dxa" w:w="2880"/>
          </w:tcPr>
          <w:p>
            <w:r>
              <w:t>Point Estimate Only</w:t>
            </w:r>
          </w:p>
        </w:tc>
        <w:tc>
          <w:tcPr>
            <w:tcW w:type="dxa" w:w="2880"/>
          </w:tcPr>
          <w:p>
            <w:r>
              <w:t>95% Bayesian Intervals</w:t>
            </w:r>
          </w:p>
        </w:tc>
      </w:tr>
    </w:tbl>
    <w:p>
      <w:pPr>
        <w:jc w:val="both"/>
      </w:pPr>
      <w:r>
        <w:rPr>
          <w:rFonts w:ascii="Times New Roman" w:hAnsi="Times New Roman"/>
        </w:rPr>
        <w:br/>
        <w:t>Finally, we validated the model using a 'Hit Rate' analysis.</w:t>
      </w:r>
    </w:p>
    <w:p>
      <w:r>
        <w:drawing>
          <wp:inline xmlns:a="http://schemas.openxmlformats.org/drawingml/2006/main" xmlns:pic="http://schemas.openxmlformats.org/drawingml/2006/picture">
            <wp:extent cx="5029200" cy="1885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idation_Hit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5.5: Confusion Matrix.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Season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Vote Share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Uncertainty (CI Width)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 Slack (Error)</w:t>
            </w:r>
          </w:p>
        </w:tc>
      </w:tr>
      <w:tr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26.0000</w:t>
            </w:r>
          </w:p>
        </w:tc>
        <w:tc>
          <w:tcPr>
            <w:tcW w:type="dxa" w:w="1728"/>
          </w:tcPr>
          <w:p>
            <w:r>
              <w:t>2.9231</w:t>
            </w:r>
          </w:p>
        </w:tc>
        <w:tc>
          <w:tcPr>
            <w:tcW w:type="dxa" w:w="1728"/>
          </w:tcPr>
          <w:p>
            <w:r>
              <w:t>2.9615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75.0000</w:t>
            </w:r>
          </w:p>
        </w:tc>
        <w:tc>
          <w:tcPr>
            <w:tcW w:type="dxa" w:w="1728"/>
          </w:tcPr>
          <w:p>
            <w:r>
              <w:t>0.1333</w:t>
            </w:r>
          </w:p>
        </w:tc>
        <w:tc>
          <w:tcPr>
            <w:tcW w:type="dxa" w:w="1728"/>
          </w:tcPr>
          <w:p>
            <w:r>
              <w:t>0.3787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74.0000</w:t>
            </w:r>
          </w:p>
        </w:tc>
        <w:tc>
          <w:tcPr>
            <w:tcW w:type="dxa" w:w="1728"/>
          </w:tcPr>
          <w:p>
            <w:r>
              <w:t>0.1351</w:t>
            </w:r>
          </w:p>
        </w:tc>
        <w:tc>
          <w:tcPr>
            <w:tcW w:type="dxa" w:w="1728"/>
          </w:tcPr>
          <w:p>
            <w:r>
              <w:t>0.3891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15.0000</w:t>
            </w:r>
          </w:p>
        </w:tc>
        <w:tc>
          <w:tcPr>
            <w:tcW w:type="dxa" w:w="1728"/>
          </w:tcPr>
          <w:p>
            <w:r>
              <w:t>83.0000</w:t>
            </w:r>
          </w:p>
        </w:tc>
        <w:tc>
          <w:tcPr>
            <w:tcW w:type="dxa" w:w="1728"/>
          </w:tcPr>
          <w:p>
            <w:r>
              <w:t>0.1205</w:t>
            </w:r>
          </w:p>
        </w:tc>
        <w:tc>
          <w:tcPr>
            <w:tcW w:type="dxa" w:w="1728"/>
          </w:tcPr>
          <w:p>
            <w:r>
              <w:t>0.3399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20.0000</w:t>
            </w:r>
          </w:p>
        </w:tc>
        <w:tc>
          <w:tcPr>
            <w:tcW w:type="dxa" w:w="1728"/>
          </w:tcPr>
          <w:p>
            <w:r>
              <w:t>82.0000</w:t>
            </w:r>
          </w:p>
        </w:tc>
        <w:tc>
          <w:tcPr>
            <w:tcW w:type="dxa" w:w="1728"/>
          </w:tcPr>
          <w:p>
            <w:r>
              <w:t>0.1220</w:t>
            </w:r>
          </w:p>
        </w:tc>
        <w:tc>
          <w:tcPr>
            <w:tcW w:type="dxa" w:w="1728"/>
          </w:tcPr>
          <w:p>
            <w:r>
              <w:t>0.3419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25.0000</w:t>
            </w:r>
          </w:p>
        </w:tc>
        <w:tc>
          <w:tcPr>
            <w:tcW w:type="dxa" w:w="1728"/>
          </w:tcPr>
          <w:p>
            <w:r>
              <w:t>90.0000</w:t>
            </w:r>
          </w:p>
        </w:tc>
        <w:tc>
          <w:tcPr>
            <w:tcW w:type="dxa" w:w="1728"/>
          </w:tcPr>
          <w:p>
            <w:r>
              <w:t>0.1111</w:t>
            </w:r>
          </w:p>
        </w:tc>
        <w:tc>
          <w:tcPr>
            <w:tcW w:type="dxa" w:w="1728"/>
          </w:tcPr>
          <w:p>
            <w:r>
              <w:t>0.3219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28.0000</w:t>
            </w:r>
          </w:p>
        </w:tc>
        <w:tc>
          <w:tcPr>
            <w:tcW w:type="dxa" w:w="1728"/>
          </w:tcPr>
          <w:p>
            <w:r>
              <w:t>83.0000</w:t>
            </w:r>
          </w:p>
        </w:tc>
        <w:tc>
          <w:tcPr>
            <w:tcW w:type="dxa" w:w="1728"/>
          </w:tcPr>
          <w:p>
            <w:r>
              <w:t>5.0723</w:t>
            </w:r>
          </w:p>
        </w:tc>
        <w:tc>
          <w:tcPr>
            <w:tcW w:type="dxa" w:w="1728"/>
          </w:tcPr>
          <w:p>
            <w:r>
              <w:t>7.9639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</w:tbl>
    <w:p>
      <w:pPr>
        <w:jc w:val="center"/>
      </w:pPr>
      <w:r>
        <w:rPr>
          <w:b/>
        </w:rPr>
        <w:t>Table 5.2: Model Robustness Statistics.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