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80"/>
        <w:jc w:val="center"/>
      </w:pPr>
      <w:r>
        <w:rPr>
          <w:rFonts w:ascii="Yu Gothic" w:cs="Yu Gothic" w:eastAsia="Yu Gothic" w:hAnsi="Yu Gothic"/>
          <w:color w:val="5A5A5A"/>
          <w:spacing w:val="60"/>
          <w:sz w:val="19"/>
          <w:szCs w:val="19"/>
        </w:rPr>
        <w:t xml:space="preserve">ENOWA OONO ｜ FIELD RESEARCH REPORT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E1E1E"/>
          <w:sz w:val="56"/>
          <w:szCs w:val="56"/>
        </w:rPr>
        <w:t xml:space="preserve">FS相互検証メモ</w:t>
      </w:r>
    </w:p>
    <w:p>
      <w:pPr>
        <w:pBdr>
          <w:top w:val="single" w:color="3F5E39" w:sz="6" w:space="12"/>
        </w:pBdr>
        <w:spacing w:after="60"/>
        <w:jc w:val="center"/>
      </w:pPr>
      <w:r>
        <w:rPr>
          <w:rFonts w:ascii="Yu Gothic" w:cs="Yu Gothic" w:eastAsia="Yu Gothic" w:hAnsi="Yu Gothic"/>
          <w:color w:val="1E1E1E"/>
          <w:sz w:val="26"/>
          <w:szCs w:val="26"/>
        </w:rPr>
        <w:t xml:space="preserve">大野市 × ENOWA｜Red Team 二重検証の突合</w:t>
      </w:r>
    </w:p>
    <w:p>
      <w:pPr>
        <w:spacing w:after="1400"/>
        <w:jc w:val="center"/>
      </w:pPr>
      <w:r>
        <w:rPr>
          <w:rFonts w:ascii="Yu Gothic" w:cs="Yu Gothic" w:eastAsia="Yu Gothic" w:hAnsi="Yu Gothic"/>
          <w:color w:val="5A5A5A"/>
          <w:spacing w:val="80"/>
          <w:sz w:val="20"/>
          <w:szCs w:val="20"/>
        </w:rPr>
        <w:t xml:space="preserve">RECONCILIATION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5A5A5A"/>
          <w:sz w:val="19"/>
          <w:szCs w:val="19"/>
        </w:rPr>
        <w:t xml:space="preserve">版数　</w:t>
      </w:r>
      <w:r>
        <w:rPr>
          <w:rFonts w:ascii="Yu Gothic" w:cs="Yu Gothic" w:eastAsia="Yu Gothic" w:hAnsi="Yu Gothic"/>
          <w:color w:val="1E1E1E"/>
          <w:sz w:val="19"/>
          <w:szCs w:val="19"/>
        </w:rPr>
        <w:t xml:space="preserve">v1.0（2026年9月2日）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5A5A5A"/>
          <w:sz w:val="19"/>
          <w:szCs w:val="19"/>
        </w:rPr>
        <w:t xml:space="preserve">対象　</w:t>
      </w:r>
      <w:r>
        <w:rPr>
          <w:rFonts w:ascii="Yu Gothic" w:cs="Yu Gothic" w:eastAsia="Yu Gothic" w:hAnsi="Yu Gothic"/>
          <w:color w:val="1E1E1E"/>
          <w:sz w:val="19"/>
          <w:szCs w:val="19"/>
        </w:rPr>
        <w:t xml:space="preserve">他チームFS・Financial Modelとの照合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5A5A5A"/>
          <w:sz w:val="19"/>
          <w:szCs w:val="19"/>
        </w:rPr>
        <w:t xml:space="preserve">位置づけ　</w:t>
      </w:r>
      <w:r>
        <w:rPr>
          <w:rFonts w:ascii="Yu Gothic" w:cs="Yu Gothic" w:eastAsia="Yu Gothic" w:hAnsi="Yu Gothic"/>
          <w:color w:val="1E1E1E"/>
          <w:sz w:val="19"/>
          <w:szCs w:val="19"/>
        </w:rPr>
        <w:t xml:space="preserve">現地で何を確認したかの記録。分析・コンセプト開発は本レポートの範囲外。</w:t>
      </w:r>
    </w:p>
    <w:p>
      <w:r>
        <w:br w:type="page"/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0. 総括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結論から言えば、両チームの判定は実質的に一致している。</w:t>
      </w:r>
      <w:r>
        <w:rPr>
          <w:rFonts w:ascii="Yu Gothic" w:cs="Yu Gothic" w:eastAsia="Yu Gothic" w:hAnsi="Yu Gothic"/>
        </w:rPr>
        <w:t xml:space="preserve">そして</w:t>
      </w:r>
      <w:r>
        <w:rPr>
          <w:rFonts w:ascii="Yu Gothic" w:cs="Yu Gothic" w:eastAsia="Yu Gothic" w:hAnsi="Yu Gothic"/>
          <w:b/>
          <w:bCs/>
        </w:rPr>
        <w:t xml:space="preserve">相手方の方が正確な箇所が5点、こちらの方が正確な箇所が6点</w:t>
      </w:r>
      <w:r>
        <w:rPr>
          <w:rFonts w:ascii="Yu Gothic" w:cs="Yu Gothic" w:eastAsia="Yu Gothic" w:hAnsi="Yu Gothic"/>
        </w:rPr>
        <w:t xml:space="preserve">ある。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論点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他チーム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当方</w:t>
            </w:r>
          </w:p>
        </w:tc>
        <w:tc>
          <w:tcPr>
            <w:tcW w:type="dxa" w:w="241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実質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判定ラベル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PIVOT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CONDITIONAL GO（ホテルはHOLD）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同じ内容。ラベルは相手方が優れる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分散型ホテルへの投資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HOLD / NO-GO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HOLD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民間単独投資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不可（補助金依存は投資対象外）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NO-GO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水の「味の差」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UNPROVEN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UNPROVEN／CONTRADICTED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最大の制約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Operator不在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受入側の人手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自己資金3億円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投資しない。最大2,500万円のデリスキング枠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投資しない。3,000万円なら検証に投資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ほぼ一致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最大の地域課題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観光ではない（人口・雇用）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観光ではない（事業者の消滅）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一致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判定ラベルは相手方の「PIVOT」を採用すべき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当方の「CONDITIONAL GO」は、</w:t>
      </w:r>
      <w:r>
        <w:rPr>
          <w:rFonts w:ascii="Yu Gothic" w:cs="Yu Gothic" w:eastAsia="Yu Gothic" w:hAnsi="Yu Gothic"/>
          <w:b/>
          <w:bCs/>
        </w:rPr>
        <w:t xml:space="preserve">社内で「条件付きで承認された」と誤読されるリスクがある。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相手方の「</w:t>
      </w:r>
      <w:r>
        <w:rPr>
          <w:rFonts w:ascii="Yu Gothic" w:cs="Yu Gothic" w:eastAsia="Yu Gothic" w:hAnsi="Yu Gothic"/>
          <w:b/>
          <w:bCs/>
        </w:rPr>
        <w:t xml:space="preserve">PIVOT</w:t>
      </w:r>
      <w:r>
        <w:rPr>
          <w:rFonts w:ascii="Yu Gothic" w:cs="Yu Gothic" w:eastAsia="Yu Gothic" w:hAnsi="Yu Gothic"/>
        </w:rPr>
        <w:t xml:space="preserve">」は、</w:t>
      </w:r>
      <w:r>
        <w:rPr>
          <w:rFonts w:ascii="Yu Gothic" w:cs="Yu Gothic" w:eastAsia="Yu Gothic" w:hAnsi="Yu Gothic"/>
          <w:b/>
          <w:bCs/>
        </w:rPr>
        <w:t xml:space="preserve">事業定義の変更（ホテル開発 → 体験ポートフォリオ＋水科学基盤）を明示的に要求する</w:t>
      </w:r>
      <w:r>
        <w:rPr>
          <w:rFonts w:ascii="Yu Gothic" w:cs="Yu Gothic" w:eastAsia="Yu Gothic" w:hAnsi="Yu Gothic"/>
        </w:rPr>
        <w:t xml:space="preserve">点で、意思決定文書として優れている。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当方のFSの判定ラベルを「PIVOT」に改める。</w:t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1. 採用すべき点 ― 相手方が正しく、当方が誤っていた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★1-1. 【重大】観光統計は令和7年（2025年）版が存在し、市場は縮小している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当方は令和6年（2024年）データを使用していた。相手方は令和7年（2025年）データを使用している。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当方が独自に一次ソースを確認した結果、相手方が正しい。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指標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当方が使用（R6/2024）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正しい最新値（R7/2025）</w:t>
            </w:r>
          </w:p>
        </w:tc>
        <w:tc>
          <w:tcPr>
            <w:tcW w:type="dxa" w:w="241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変化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年間観光入込客数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2,143,900人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1,947,000人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▲196,900人（前年比90.0%）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宿泊客数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84,970人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82,000人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前年比96.0%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日帰り客数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1,865,000人（95.8%）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前年比90.0%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まちなか観光＋文化施設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670,300人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前年比95.0%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郊外観光地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1,276,700人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前年比88.0%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〔出典：大野市「令和7年観光入込客数」／当方が2026-09-02にURL直接確認〕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これは単なる数値の更新ではない。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</w:rPr>
        <w:t xml:space="preserve">当方のFSは「214万人の流入」を前提に議論を組み立てていたが、</w:t>
      </w:r>
      <w:r>
        <w:rPr>
          <w:rFonts w:ascii="Yu Gothic" w:cs="Yu Gothic" w:eastAsia="Yu Gothic" w:hAnsi="Yu Gothic"/>
          <w:b/>
          <w:bCs/>
        </w:rPr>
        <w:t xml:space="preserve">実際の直近年は194.7万人で、前年比▲10.0%の縮小局面にある。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とりわけ郊外観光地が▲12.0%と大きく落ちている。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「巨大なトップファネルが既にある」という初期提案の前提は、当方が指摘した「単位の問題」に加えて、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「そもそも縮小している」という時系列の問題も抱えている。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当方の見落とし理由</w:t>
      </w:r>
      <w:r>
        <w:rPr>
          <w:rFonts w:ascii="Yu Gothic" w:cs="Yu Gothic" w:eastAsia="Yu Gothic" w:hAnsi="Yu Gothic"/>
        </w:rPr>
        <w:t xml:space="preserve">：調査時に `kankouirikomi6.html`（令和6年）を発見した時点で最新と判断し、`kankoirikomi7.html`（令和7年、URLの綴りが異なる）を探索しなかった。</w:t>
      </w:r>
      <w:r>
        <w:rPr>
          <w:rFonts w:ascii="Yu Gothic" w:cs="Yu Gothic" w:eastAsia="Yu Gothic" w:hAnsi="Yu Gothic"/>
          <w:b/>
          <w:bCs/>
        </w:rPr>
        <w:t xml:space="preserve">手続き上の誤りである。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なお、両チームとも「なぜ2025年に10%減ったのか」を検証していない。</w:t>
      </w:r>
      <w:r>
        <w:rPr>
          <w:rFonts w:ascii="Yu Gothic" w:cs="Yu Gothic" w:eastAsia="Yu Gothic" w:hAnsi="Yu Gothic"/>
        </w:rPr>
        <w:t xml:space="preserve">令和6年の宿泊減は市の説明で「猛暑によるキャンプ場宿泊減」とされていた。</w:t>
      </w:r>
      <w:r>
        <w:rPr>
          <w:rFonts w:ascii="Yu Gothic" w:cs="Yu Gothic" w:eastAsia="Yu Gothic" w:hAnsi="Yu Gothic"/>
          <w:b/>
          <w:bCs/>
        </w:rPr>
        <w:t xml:space="preserve">令和7年の減少要因の特定は、需要トレンドの解釈に直結するため必須の追加調査項目である。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★1-2. 海外連携は「存在しない」のではなく「休眠している」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当方は9/1の視察記録（参加者の「海外の姉妹都市はないですね」という発言）に基づき、</w:t>
      </w:r>
      <w:r>
        <w:rPr>
          <w:rFonts w:ascii="Yu Gothic" w:cs="Yu Gothic" w:eastAsia="Yu Gothic" w:hAnsi="Yu Gothic"/>
          <w:b/>
          <w:bCs/>
        </w:rPr>
        <w:t xml:space="preserve">「大野市には海外の姉妹都市がない」</w:t>
      </w:r>
      <w:r>
        <w:rPr>
          <w:rFonts w:ascii="Yu Gothic" w:cs="Yu Gothic" w:eastAsia="Yu Gothic" w:hAnsi="Yu Gothic"/>
        </w:rPr>
        <w:t xml:space="preserve">と記述し、施策L（海外Water Destination連携）をDROPとした。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相手方の指摘により確認したところ、以下が実在する。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項目</w:t>
            </w:r>
          </w:p>
        </w:tc>
        <w:tc>
          <w:tcPr>
            <w:tcW w:type="dxa" w:w="6747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締結日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2018年3月15日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当事者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大野市（岡田高大市長）× フランス・エロー地中海広域連合（Gilles d'Ettore会長／アグド市長）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文書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水資源分野における協力覚書（Memorandum of Cooperation in the Field of Water Resources Development）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立会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渡嘉敷副大臣、駐日フランス大使 Laurent Pic、両国環境省関係者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出典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環境省 英文フォトレポート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当方の記述は「姉妹都市はない」という点では誤りではないが、「接点がない」という含意は誤りである。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相手方の整理（「active assetではなくdormant option。90日以内に双方の書面確認が取れなければ投資資料・PRから削除する」）が最も正確である。これを採用する。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1-3. 2026年8月29日の豪雨被害 ― BCPの前提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相手方が把握し、当方が把握していなかった直近事実。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2026年8月29日の豪雨で、</w:t>
      </w:r>
      <w:r>
        <w:rPr>
          <w:rFonts w:ascii="Yu Gothic" w:cs="Yu Gothic" w:eastAsia="Yu Gothic" w:hAnsi="Yu Gothic"/>
          <w:b/>
          <w:bCs/>
        </w:rPr>
        <w:t xml:space="preserve">大野市は避難109人、JR運休、床上浸水1、床下浸水11、農業施設被害69等を公表</w:t>
      </w:r>
      <w:r>
        <w:rPr>
          <w:rFonts w:ascii="Yu Gothic" w:cs="Yu Gothic" w:eastAsia="Yu Gothic" w:hAnsi="Yu Gothic"/>
        </w:rPr>
        <w:t xml:space="preserve">〔A〕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含意</w:t>
      </w:r>
      <w:r>
        <w:rPr>
          <w:rFonts w:ascii="Yu Gothic" w:cs="Yu Gothic" w:eastAsia="Yu Gothic" w:hAnsi="Yu Gothic"/>
        </w:rPr>
        <w:t xml:space="preserve">：当方のFSは冬季の積雪リスクを重視したが、</w:t>
      </w:r>
      <w:r>
        <w:rPr>
          <w:rFonts w:ascii="Yu Gothic" w:cs="Yu Gothic" w:eastAsia="Yu Gothic" w:hAnsi="Yu Gothic"/>
          <w:b/>
          <w:bCs/>
        </w:rPr>
        <w:t xml:space="preserve">豪雨と鉄道途絶も同等のBCP対象である。</w:t>
      </w:r>
      <w:r>
        <w:rPr>
          <w:rFonts w:ascii="Yu Gothic" w:cs="Yu Gothic" w:eastAsia="Yu Gothic" w:hAnsi="Yu Gothic"/>
        </w:rPr>
        <w:t xml:space="preserve">視察の4日前に実際に発生している。</w:t>
      </w:r>
      <w:r>
        <w:rPr>
          <w:rFonts w:ascii="Yu Gothic" w:cs="Yu Gothic" w:eastAsia="Yu Gothic" w:hAnsi="Yu Gothic"/>
          <w:b/>
          <w:bCs/>
        </w:rPr>
        <w:t xml:space="preserve">「雪だけをリスクとして扱う」設計は不十分。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1-4. Last mile の定量化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相手方は交通を具体的に押さえている。当方は「アクセス」を定性的にしか扱っていなかった。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発地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公共交通 所要時間帯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課題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福井駅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1h10–1h40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越美北線は低頻度。タクシー事前予約が必要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金沢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2h00–2h45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福井乗換。荷物・待ち時間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小松空港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2h15–3h00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空港バス＋福井＋大野。シームレスでない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京都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2h45–3h30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敦賀／福井乗換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東京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4h15–5h00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北陸新幹線＋越美北線／車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高単価Destinationにおいて「最後の30〜60分の移動品質」が決定的である</w:t>
      </w:r>
      <w:r>
        <w:rPr>
          <w:rFonts w:ascii="Yu Gothic" w:cs="Yu Gothic" w:eastAsia="Yu Gothic" w:hAnsi="Yu Gothic"/>
        </w:rPr>
        <w:t xml:space="preserve">という相手方の指摘は正しい。</w:t>
      </w:r>
      <w:r>
        <w:rPr>
          <w:rFonts w:ascii="Yu Gothic" w:cs="Yu Gothic" w:eastAsia="Yu Gothic" w:hAnsi="Yu Gothic"/>
          <w:b/>
          <w:bCs/>
        </w:rPr>
        <w:t xml:space="preserve">送迎を商品原価に組み込む</w:t>
      </w:r>
      <w:r>
        <w:rPr>
          <w:rFonts w:ascii="Yu Gothic" w:cs="Yu Gothic" w:eastAsia="Yu Gothic" w:hAnsi="Yu Gothic"/>
        </w:rPr>
        <w:t xml:space="preserve">という処理も妥当。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1-5. 競合の規模比較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飛騨高山の2025年外国人延べ宿泊 約97.8万人泊 に対し、大野市の総宿泊は8.2万人。</w:t>
      </w:r>
      <w:r>
        <w:rPr>
          <w:rFonts w:ascii="Yu Gothic" w:cs="Yu Gothic" w:eastAsia="Yu Gothic" w:hAnsi="Yu Gothic"/>
        </w:rPr>
        <w:t xml:space="preserve">〔A〕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当方も「福井県の外国人宿泊は全国46位・9.2万人泊」を示したが、</w:t>
      </w:r>
      <w:r>
        <w:rPr>
          <w:rFonts w:ascii="Yu Gothic" w:cs="Yu Gothic" w:eastAsia="Yu Gothic" w:hAnsi="Yu Gothic"/>
          <w:b/>
          <w:bCs/>
        </w:rPr>
        <w:t xml:space="preserve">同じ「歴史的城下町でインバウンドを狙う」土俵での直接比較として、高山との対比の方が説得力がある。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また相手方の</w:t>
      </w:r>
      <w:r>
        <w:rPr>
          <w:rFonts w:ascii="Yu Gothic" w:cs="Yu Gothic" w:eastAsia="Yu Gothic" w:hAnsi="Yu Gothic"/>
          <w:b/>
          <w:bCs/>
        </w:rPr>
        <w:t xml:space="preserve">「郡上八幡＝『水の城下町』という直接概念代替」</w:t>
      </w:r>
      <w:r>
        <w:rPr>
          <w:rFonts w:ascii="Yu Gothic" w:cs="Yu Gothic" w:eastAsia="Yu Gothic" w:hAnsi="Yu Gothic"/>
        </w:rPr>
        <w:t xml:space="preserve">という指摘は重要である。</w:t>
      </w:r>
      <w:r>
        <w:rPr>
          <w:rFonts w:ascii="Yu Gothic" w:cs="Yu Gothic" w:eastAsia="Yu Gothic" w:hAnsi="Yu Gothic"/>
          <w:b/>
          <w:bCs/>
        </w:rPr>
        <w:t xml:space="preserve">「水の城下町」だけでは差別化にならない。</w:t>
      </w:r>
      <w:r>
        <w:rPr>
          <w:rFonts w:ascii="Yu Gothic" w:cs="Yu Gothic" w:eastAsia="Yu Gothic" w:hAnsi="Yu Gothic"/>
        </w:rPr>
        <w:t xml:space="preserve">当方のFSはこの競合を検討していなかった。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1-6. Governanceの段階設計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当方は Model E（官民JV／SPC＋ENOWA運営受託）を推奨した。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相手方は </w:t>
      </w:r>
      <w:r>
        <w:rPr>
          <w:rFonts w:ascii="Yu Gothic" w:cs="Yu Gothic" w:eastAsia="Yu Gothic" w:hAnsi="Yu Gothic"/>
          <w:b/>
          <w:bCs/>
        </w:rPr>
        <w:t xml:space="preserve">Model B（DMO主導）をPREFERRED、Model E（SPC）をLATER</w:t>
      </w:r>
      <w:r>
        <w:rPr>
          <w:rFonts w:ascii="Yu Gothic" w:cs="Yu Gothic" w:eastAsia="Yu Gothic" w:hAnsi="Yu Gothic"/>
        </w:rPr>
        <w:t xml:space="preserve">とし、理由を「</w:t>
      </w:r>
      <w:r>
        <w:rPr>
          <w:rFonts w:ascii="Yu Gothic" w:cs="Yu Gothic" w:eastAsia="Yu Gothic" w:hAnsi="Yu Gothic"/>
          <w:b/>
          <w:bCs/>
        </w:rPr>
        <w:t xml:space="preserve">資産とOperatorが確定して初めて検討。PoC段階では管理コスト過大</w:t>
      </w:r>
      <w:r>
        <w:rPr>
          <w:rFonts w:ascii="Yu Gothic" w:cs="Yu Gothic" w:eastAsia="Yu Gothic" w:hAnsi="Yu Gothic"/>
        </w:rPr>
        <w:t xml:space="preserve">」としている。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相手方の段階設計の方が正しい。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</w:rPr>
        <w:t xml:space="preserve">PoC段階でSPCを組成するのは、管理コストと意思決定速度の両面で不利である。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PoC＝DMO主導の軽量プラットフォーム → 資産投資判断時にSPC、という順序を採用する。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ただし1点留保：相手方は「</w:t>
      </w:r>
      <w:r>
        <w:rPr>
          <w:rFonts w:ascii="Yu Gothic" w:cs="Yu Gothic" w:eastAsia="Yu Gothic" w:hAnsi="Yu Gothic"/>
          <w:b/>
          <w:bCs/>
        </w:rPr>
        <w:t xml:space="preserve">DMOは2023設立</w:t>
      </w:r>
      <w:r>
        <w:rPr>
          <w:rFonts w:ascii="Yu Gothic" w:cs="Yu Gothic" w:eastAsia="Yu Gothic" w:hAnsi="Yu Gothic"/>
        </w:rPr>
        <w:t xml:space="preserve">」としている。</w:t>
      </w:r>
      <w:r>
        <w:rPr>
          <w:rFonts w:ascii="Yu Gothic" w:cs="Yu Gothic" w:eastAsia="Yu Gothic" w:hAnsi="Yu Gothic"/>
          <w:b/>
          <w:bCs/>
        </w:rPr>
        <w:t xml:space="preserve">設立3年のDMOに予約・顧客データ・品質基準の保持を担わせられるかは、能力の実査が必要である。</w:t>
      </w:r>
      <w:r>
        <w:rPr>
          <w:rFonts w:ascii="Yu Gothic" w:cs="Yu Gothic" w:eastAsia="Yu Gothic" w:hAnsi="Yu Gothic"/>
        </w:rPr>
        <w:t xml:space="preserve">相手方も「権限・人材補強が条件」と付しており、この条件の重さは当方の方が厳しく見る。</w:t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2. 反論すべき点 ― 当方の方が根拠が強い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★2-1. 【最重要】ホテルのCAPEX前提が、実在するどのデータよりも3.7〜14倍高い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相手方のHotel Optionsは、1室あたり改修費に以下を置いている。</w:t>
      </w:r>
      <w:r>
        <w:rPr>
          <w:rFonts w:ascii="Yu Gothic" w:cs="Yu Gothic" w:eastAsia="Yu Gothic" w:hAnsi="Yu Gothic"/>
          <w:b/>
          <w:bCs/>
        </w:rPr>
        <w:t xml:space="preserve">出典は付されていない（Evidence "F"＝推定）。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Option</w:t>
            </w:r>
          </w:p>
        </w:tc>
        <w:tc>
          <w:tcPr>
            <w:tcW w:type="dxa" w:w="1606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CAPEX</w:t>
            </w:r>
          </w:p>
        </w:tc>
        <w:tc>
          <w:tcPr>
            <w:tcW w:type="dxa" w:w="1606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室数</w:t>
            </w:r>
          </w:p>
        </w:tc>
        <w:tc>
          <w:tcPr>
            <w:tcW w:type="dxa" w:w="1606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1室あたり</w:t>
            </w:r>
          </w:p>
        </w:tc>
        <w:tc>
          <w:tcPr>
            <w:tcW w:type="dxa" w:w="1606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DBJ実勢比</w:t>
            </w:r>
          </w:p>
        </w:tc>
        <w:tc>
          <w:tcPr>
            <w:tcW w:type="dxa" w:w="160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講 実績比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A 新築12室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1,800百万円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12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150.0百万円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14.0倍</w:t>
            </w:r>
          </w:p>
        </w:tc>
        <w:tc>
          <w:tcPr>
            <w:tcW w:type="dxa" w:w="1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4.9倍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B 町家分散8室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900百万円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8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112.5百万円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10.5倍</w:t>
            </w:r>
          </w:p>
        </w:tc>
        <w:tc>
          <w:tcPr>
            <w:tcW w:type="dxa" w:w="1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3.7倍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C 既存改修10室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550百万円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10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55.0百万円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5.1倍</w:t>
            </w:r>
          </w:p>
        </w:tc>
        <w:tc>
          <w:tcPr>
            <w:tcW w:type="dxa" w:w="1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1.8倍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当方が一次確認した実勢値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出所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1室あたり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DBJ／日本経済研究所（事業者ヒアリング・アンケート）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10.7百万円</w:t>
            </w:r>
            <w:r>
              <w:rPr>
                <w:rFonts w:ascii="Yu Gothic" w:cs="Yu Gothic" w:eastAsia="Yu Gothic" w:hAnsi="Yu Gothic"/>
              </w:rPr>
              <w:t xml:space="preserve">（改修10.0＋FF&amp;E 0.7）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公的調査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講 大津百町（実額開示）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30.8百万円</w:t>
            </w:r>
            <w:r>
              <w:rPr>
                <w:rFonts w:ascii="Yu Gothic" w:cs="Yu Gothic" w:eastAsia="Yu Gothic" w:hAnsi="Yu Gothic"/>
              </w:rPr>
              <w:t xml:space="preserve">（総額4億円÷13室、家具・設計費込・補助金1億円含む）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唯一の実績開示事例</w:t>
            </w:r>
          </w:p>
        </w:tc>
      </w:tr>
    </w:tbl>
    <w:p>
      <w:pPr>
        <w:spacing w:after="200"/>
      </w:pP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相手方の Option B（町家分散）1室あたり1億1,250万円は、実在する最高値（講 大津百町の3,077万円）の3.7倍である。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この前提が、Option B の Payback 36.9年 と DSCR 1.08x を生んでいる。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E1E1E"/>
          <w:sz w:val="22"/>
          <w:szCs w:val="22"/>
        </w:rPr>
        <w:t xml:space="preserve">実勢CAPEXに差し替えるとどうなるか（相手方と同じ運営前提のまま）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Option B（8室・ADR¥95k・稼働45%・EBITDA 14%）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Payback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DSCR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相手方前提 112.5百万円/室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36.9年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1.08x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講 実績 30.8百万円/室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10.1年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3.94x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DBJ実勢 10.7百万円/室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3.5年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11.35x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相手方の CAPEX 前提を実勢に置き換えるだけで、Option B の判定は HOLD から「投資可」に反転する。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すなわち、相手方のホテル判定は、出典のないCAPEX前提に強く依存している。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なお、大野固有の上振れ要因は当方も認める</w:t>
      </w:r>
      <w:r>
        <w:rPr>
          <w:rFonts w:ascii="Yu Gothic" w:cs="Yu Gothic" w:eastAsia="Yu Gothic" w:hAnsi="Yu Gothic"/>
        </w:rPr>
        <w:t xml:space="preserve">（垂直積雪量300cm＝積雪荷重約900kg/㎡、密集市街地で工事車両が入りにくい、4号特例縮小により木造2階建て町家は大規模修繕で確認申請が必要）。講 大津百町は滋賀県大津市で積雪は軽微であるため、</w:t>
      </w:r>
      <w:r>
        <w:rPr>
          <w:rFonts w:ascii="Yu Gothic" w:cs="Yu Gothic" w:eastAsia="Yu Gothic" w:hAnsi="Yu Gothic"/>
          <w:b/>
          <w:bCs/>
        </w:rPr>
        <w:t xml:space="preserve">構造費の割増は妥当である。しかし+30%程度が上限であり、+270%ではない。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★2-2. 【最重要】稼働率の前提が、公的統計より15〜18ポイント高い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相手方は Appendix B で「</w:t>
      </w:r>
      <w:r>
        <w:rPr>
          <w:rFonts w:ascii="Yu Gothic" w:cs="Yu Gothic" w:eastAsia="Yu Gothic" w:hAnsi="Yu Gothic"/>
          <w:b/>
          <w:bCs/>
        </w:rPr>
        <w:t xml:space="preserve">ADR / RevPAR / Occupancy：No city-level data found</w:t>
      </w:r>
      <w:r>
        <w:rPr>
          <w:rFonts w:ascii="Yu Gothic" w:cs="Yu Gothic" w:eastAsia="Yu Gothic" w:hAnsi="Yu Gothic"/>
        </w:rPr>
        <w:t xml:space="preserve">」とし、</w:t>
      </w:r>
      <w:r>
        <w:rPr>
          <w:rFonts w:ascii="Yu Gothic" w:cs="Yu Gothic" w:eastAsia="Yu Gothic" w:hAnsi="Yu Gothic"/>
          <w:b/>
          <w:bCs/>
        </w:rPr>
        <w:t xml:space="preserve">「市粒度のデータがないので検証不能」</w:t>
      </w:r>
      <w:r>
        <w:rPr>
          <w:rFonts w:ascii="Yu Gothic" w:cs="Yu Gothic" w:eastAsia="Yu Gothic" w:hAnsi="Yu Gothic"/>
        </w:rPr>
        <w:t xml:space="preserve">と結論している。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しかし、県粒度の公的統計は存在する。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区分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福井県 客室稼働率（観光庁「宿泊旅行統計調査」2024年確定値）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全国順位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全体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47.9%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39位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旅館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27.4%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42位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簡易宿所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14.4%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36位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さらに、DBJ／日本経済研究所は「分散型宿泊施設」の標準稼働率を 30% と置いている。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相手方のHotel Optionsが用いる稼働率は </w:t>
      </w:r>
      <w:r>
        <w:rPr>
          <w:rFonts w:ascii="Yu Gothic" w:cs="Yu Gothic" w:eastAsia="Yu Gothic" w:hAnsi="Yu Gothic"/>
          <w:b/>
          <w:bCs/>
        </w:rPr>
        <w:t xml:space="preserve">45〜48%</w:t>
      </w:r>
      <w:r>
        <w:rPr>
          <w:rFonts w:ascii="Yu Gothic" w:cs="Yu Gothic" w:eastAsia="Yu Gothic" w:hAnsi="Yu Gothic"/>
        </w:rPr>
        <w:t xml:space="preserve"> である。</w:t>
      </w:r>
      <w:r>
        <w:rPr>
          <w:rFonts w:ascii="Yu Gothic" w:cs="Yu Gothic" w:eastAsia="Yu Gothic" w:hAnsi="Yu Gothic"/>
          <w:b/>
          <w:bCs/>
        </w:rPr>
        <w:t xml:space="preserve">これは福井県の旅館平均の1.64〜1.75倍、DBJ標準の1.5〜1.6倍であり、出典が示されていない。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「市粒度データがない」ことは、「県粒度データを使わない」理由にはならない。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入手可能な最良の証拠を使わずに、出典のない45%を置くことは、Evidence Rule に反する。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★2-3. 【重大】硬度「42–56mg/L」は、引用元の文献に記載がない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相手方は本文で「</w:t>
      </w:r>
      <w:r>
        <w:rPr>
          <w:rFonts w:ascii="Yu Gothic" w:cs="Yu Gothic" w:eastAsia="Yu Gothic" w:hAnsi="Yu Gothic"/>
          <w:b/>
          <w:bCs/>
        </w:rPr>
        <w:t xml:space="preserve">市街地湧水の硬度は主に42–56mg/Lの軟水帯</w:t>
      </w:r>
      <w:r>
        <w:rPr>
          <w:rFonts w:ascii="Yu Gothic" w:cs="Yu Gothic" w:eastAsia="Yu Gothic" w:hAnsi="Yu Gothic"/>
        </w:rPr>
        <w:t xml:space="preserve">」と記述し、</w:t>
      </w:r>
      <w:r>
        <w:rPr>
          <w:rFonts w:ascii="Yu Gothic" w:cs="Yu Gothic" w:eastAsia="Yu Gothic" w:hAnsi="Yu Gothic"/>
          <w:b/>
          <w:bCs/>
        </w:rPr>
        <w:t xml:space="preserve">Evidence Level B、出典 S05</w:t>
      </w:r>
      <w:r>
        <w:rPr>
          <w:rFonts w:ascii="Yu Gothic" w:cs="Yu Gothic" w:eastAsia="Yu Gothic" w:hAnsi="Yu Gothic"/>
        </w:rPr>
        <w:t xml:space="preserve"> を付している。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S05は `早瀬吉雄「越前大野における農業農村整備事業と地下水涵養の取組み」農業農村工学会誌 86(1)` である。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当方がこの論文本文を直接取得して確認した結果、硬度（Hardness）・Ca/Mg濃度・窒素リン濃度のいずれも記載されていない。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Evidence Level B を付した数値が、引用元に存在しない。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これは両チームが共有する Evidence Rule（「F/GをFACTとして記述しない」）に対する違反である。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留意</w:t>
      </w:r>
      <w:r>
        <w:rPr>
          <w:rFonts w:ascii="Yu Gothic" w:cs="Yu Gothic" w:eastAsia="Yu Gothic" w:hAnsi="Yu Gothic"/>
        </w:rPr>
        <w:t xml:space="preserve">：当方は独立に検索を行ったが、</w:t>
      </w:r>
      <w:r>
        <w:rPr>
          <w:rFonts w:ascii="Yu Gothic" w:cs="Yu Gothic" w:eastAsia="Yu Gothic" w:hAnsi="Yu Gothic"/>
          <w:b/>
          <w:bCs/>
        </w:rPr>
        <w:t xml:space="preserve">大野市の地下水の硬度実測値は公開文献から確認できなかった</w:t>
      </w:r>
      <w:r>
        <w:rPr>
          <w:rFonts w:ascii="Yu Gothic" w:cs="Yu Gothic" w:eastAsia="Yu Gothic" w:hAnsi="Yu Gothic"/>
        </w:rPr>
        <w:t xml:space="preserve">（市の地下水年度報告書は41地点×水道法40項目を毎年測定しているが、個別地点の結果表がスキャン画像で機械可読でない）。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したがって当方の元の記述（「硬度実測値は未取得」）が正確である。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ただし結論の方向は変わらない。</w:t>
      </w:r>
      <w:r>
        <w:rPr>
          <w:rFonts w:ascii="Yu Gothic" w:cs="Yu Gothic" w:eastAsia="Yu Gothic" w:hAnsi="Yu Gothic"/>
        </w:rPr>
        <w:t xml:space="preserve">仮に42–56mg/Lが正しければ、差は14mg/L程度であり、</w:t>
      </w:r>
      <w:r>
        <w:rPr>
          <w:rFonts w:ascii="Yu Gothic" w:cs="Yu Gothic" w:eastAsia="Yu Gothic" w:hAnsi="Yu Gothic"/>
          <w:b/>
          <w:bCs/>
        </w:rPr>
        <w:t xml:space="preserve">ヒトの識別に必要とされる ΔTDS&gt;150mg/L（Dietrich &amp; Gallagher 2013）を大きく下回る。</w:t>
      </w:r>
      <w:r>
        <w:rPr>
          <w:rFonts w:ascii="Yu Gothic" w:cs="Yu Gothic" w:eastAsia="Yu Gothic" w:hAnsi="Yu Gothic"/>
        </w:rPr>
        <w:t xml:space="preserve">相手方の結論（識別不能）は、数値の出典に問題があっても方向としては正しい。</w:t>
      </w:r>
      <w:r>
        <w:rPr>
          <w:rFonts w:ascii="Yu Gothic" w:cs="Yu Gothic" w:eastAsia="Yu Gothic" w:hAnsi="Yu Gothic"/>
          <w:b/>
          <w:bCs/>
        </w:rPr>
        <w:t xml:space="preserve">それでも、出典のない数値を根拠として提示すべきではない。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2-4. 「Illustrative IRR」がIRRになっていない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相手方の Scenarios シートの IRR 計算式は以下である。</w:t>
      </w:r>
    </w:p>
    <w:p>
      <w:pPr>
        <w:shd w:fill="F4F4F0" w:color="auto" w:val="clear"/>
        <w:spacing w:after="160" w:before="1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=IF(C14&lt;=0, -100%, RATE(10, 0, -C18, C18 + C14*10))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これは「投資額C18が10年後に C18＋EBITDA×10 になる」という</w:t>
      </w:r>
      <w:r>
        <w:rPr>
          <w:rFonts w:ascii="Yu Gothic" w:cs="Yu Gothic" w:eastAsia="Yu Gothic" w:hAnsi="Yu Gothic"/>
          <w:b/>
          <w:bCs/>
        </w:rPr>
        <w:t xml:space="preserve">複利成長率（CAGR）</w:t>
      </w:r>
      <w:r>
        <w:rPr>
          <w:rFonts w:ascii="Yu Gothic" w:cs="Yu Gothic" w:eastAsia="Yu Gothic" w:hAnsi="Yu Gothic"/>
        </w:rPr>
        <w:t xml:space="preserve">であり、</w:t>
      </w:r>
      <w:r>
        <w:rPr>
          <w:rFonts w:ascii="Yu Gothic" w:cs="Yu Gothic" w:eastAsia="Yu Gothic" w:hAnsi="Yu Gothic"/>
          <w:b/>
          <w:bCs/>
        </w:rPr>
        <w:t xml:space="preserve">中間キャッシュフローを一切割り引いていない。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ケース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相手方の表示値</w:t>
            </w:r>
          </w:p>
        </w:tc>
        <w:tc>
          <w:tcPr>
            <w:tcW w:type="dxa" w:w="2409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正しいIRR</w:t>
            </w:r>
          </w:p>
        </w:tc>
        <w:tc>
          <w:tcPr>
            <w:tcW w:type="dxa" w:w="241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乖離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Base（投資33百万、EBITDA 5.282百万×10年）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10.03%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9.61%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+0.4pt（過大）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Upside（投資40百万、EBITDA 32.232百万×10年）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24.65%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80.36%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▲55.7pt（過小）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Baseでは影響が小さいが、Upsideでは55ポイント以上の過小評価になる。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相手方自身のハードル12%との比較では Base の結論は変わらないが、</w:t>
      </w:r>
      <w:r>
        <w:rPr>
          <w:rFonts w:ascii="Yu Gothic" w:cs="Yu Gothic" w:eastAsia="Yu Gothic" w:hAnsi="Yu Gothic"/>
          <w:b/>
          <w:bCs/>
        </w:rPr>
        <w:t xml:space="preserve">Upsideケースの魅力度を大きく損なう誤りである。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2-5. DSCRの分子がCFADSではなくEBITDA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相手方の式：`DSCR = EBITDA / 元利金返済額`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金融実務では </w:t>
      </w:r>
      <w:r>
        <w:rPr>
          <w:rFonts w:ascii="Yu Gothic" w:cs="Yu Gothic" w:eastAsia="Yu Gothic" w:hAnsi="Yu Gothic"/>
          <w:b/>
          <w:bCs/>
        </w:rPr>
        <w:t xml:space="preserve">DSCR = CFADS（EBITDA − 維持CAPEX − 税） / 元利金返済額</w:t>
      </w:r>
      <w:r>
        <w:rPr>
          <w:rFonts w:ascii="Yu Gothic" w:cs="Yu Gothic" w:eastAsia="Yu Gothic" w:hAnsi="Yu Gothic"/>
        </w:rPr>
        <w:t xml:space="preserve"> を用いる。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相手方はM列でFCF（EBITDA−維持CAPEX）を算出しているにもかかわらず、DSCRにはK列（EBITDA）を使用している。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Option A の DSCR 0.86x は、FCFベースなら </w:t>
      </w:r>
      <w:r>
        <w:rPr>
          <w:rFonts w:ascii="Yu Gothic" w:cs="Yu Gothic" w:eastAsia="Yu Gothic" w:hAnsi="Yu Gothic"/>
          <w:b/>
          <w:bCs/>
        </w:rPr>
        <w:t xml:space="preserve">0.75x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結論（1.2x未達）は変わらないが、数値は相手方に有利な側へ振れている。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2-6. デリスキング枠の金額に内部不整合がある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記載箇所</w:t>
            </w:r>
          </w:p>
        </w:tc>
        <w:tc>
          <w:tcPr>
            <w:tcW w:type="dxa" w:w="6747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金額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Executive Verdict（本文・Cover）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「最大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2,500万円</w:t>
            </w:r>
            <w:r>
              <w:rPr>
                <w:rFonts w:ascii="Yu Gothic" w:cs="Yu Gothic" w:eastAsia="Yu Gothic" w:hAnsi="Yu Gothic"/>
              </w:rPr>
              <w:t xml:space="preserve">のデリスキング枠」「gated ¥25m」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Financial Model `Scenarios` A18「Total gated program」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33百万円</w:t>
            </w:r>
            <w:r>
              <w:rPr>
                <w:rFonts w:ascii="Yu Gothic" w:cs="Yu Gothic" w:eastAsia="Yu Gothic" w:hAnsi="Yu Gothic"/>
              </w:rPr>
              <w:t xml:space="preserve">（商業25＋水科学8）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本文「初回コミット」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1,100万円（水科学8＋WTP3）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水科学8百万円が枠に含まれるのか否かで、2,500万円と3,300万円が混在している。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初回コミット1,100万円が「水科学8＋WTP3」である以上、</w:t>
      </w:r>
      <w:r>
        <w:rPr>
          <w:rFonts w:ascii="Yu Gothic" w:cs="Yu Gothic" w:eastAsia="Yu Gothic" w:hAnsi="Yu Gothic"/>
          <w:b/>
          <w:bCs/>
        </w:rPr>
        <w:t xml:space="preserve">水科学は枠の内側にある。したがって正しい上限は3,300万円である。</w:t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3. 統合モデル ― 両者の誤りを最良証拠で置き換える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相手方の2つの誤りは、方向が逆であるため部分的に相殺している。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CAPEX過大（→ NO-GO方向へバイアス）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稼働率過大（→ GO方向へバイアス）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両方を最良証拠に差し替えた場合の結果が、最も信頼できる。</w:t>
      </w: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E1E1E"/>
          <w:sz w:val="22"/>
          <w:szCs w:val="22"/>
        </w:rPr>
        <w:t xml:space="preserve">Option B（町家分散8室、ADR¥95k/室、Other Rev 70%、EBITDA 14%）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稼働率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CAPEX 30.8百万/室（講実績）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CAPEX 40.0百万/室（講＋積雪割増30%）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27.4%（福井県 旅館平均）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16.6年 / 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IRR ▲1.2%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21.5年 / 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IRR ▲4.2%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30%（DBJ 分散型標準）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15.1年 / 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IRR ▲0.1%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19.7年 / 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IRR ▲3.2%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45%（相手方前提）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10.1年 / IRR 5.4%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13.1年 / IRR 1.7%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rFonts w:ascii="Yu Gothic" w:cs="Yu Gothic" w:eastAsia="Yu Gothic" w:hAnsi="Yu Gothic"/>
          <w:b/>
          <w:bCs/>
          <w:color w:val="1E1E1E"/>
          <w:sz w:val="22"/>
          <w:szCs w:val="22"/>
        </w:rPr>
        <w:t xml:space="preserve">Option C（既存改修10室、ADR¥70k/室、Other Rev 55%、EBITDA 15%）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稼働率</w:t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CAPEX 30.8百万/室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CAPEX 40.0百万/室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27.4%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22.7年 / IRR ▲4.8%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29.5年 / IRR ▲7.5%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30%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20.7年 / IRR ▲3.8%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26.9年 / IRR ▲6.6%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45%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13.8年 / IRR 1.0%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Payback 18.0年 / IRR ▲2.2%</w:t>
            </w:r>
          </w:p>
        </w:tc>
      </w:tr>
    </w:tbl>
    <w:p>
      <w:pPr>
        <w:spacing w:after="200"/>
      </w:pP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</w:rPr>
        <w:t xml:space="preserve">統合結論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&gt;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現実的な稼働率（27〜30%）と現実的なCAPEX（30.8〜40.0百万円/室）の組み合わせでは、IRRはすべて負である。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相手方の「HOLD」判定、当方の「HOLD」判定は、いずれも維持される。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&gt;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ただし重要な差異がある。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</w:rPr>
        <w:t xml:space="preserve">相手方の数値（Payback 36.9年、DSCR 1.08x）は</w:t>
      </w:r>
      <w:r>
        <w:rPr>
          <w:rFonts w:ascii="Yu Gothic" w:cs="Yu Gothic" w:eastAsia="Yu Gothic" w:hAnsi="Yu Gothic"/>
          <w:b/>
          <w:bCs/>
        </w:rPr>
        <w:t xml:space="preserve">出典のないCAPEXに依存している</w:t>
      </w:r>
      <w:r>
        <w:rPr>
          <w:rFonts w:ascii="Yu Gothic" w:cs="Yu Gothic" w:eastAsia="Yu Gothic" w:hAnsi="Yu Gothic"/>
        </w:rPr>
        <w:t xml:space="preserve">ため、そのまま引用すべきではない。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実際の不成立理由は「改修費が高いから」ではなく「稼働率が低いから」である。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この違いは、打ち手の設計を変える。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&gt;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500"/>
      </w:pPr>
      <w:r>
        <w:rPr>
          <w:rFonts w:ascii="Yu Gothic" w:cs="Yu Gothic" w:eastAsia="Yu Gothic" w:hAnsi="Yu Gothic"/>
        </w:rPr>
        <w:t xml:space="preserve">・CAPEXが原因なら → 補助金・安価な物件・スペック削減が打ち手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500"/>
      </w:pPr>
      <w:r>
        <w:rPr>
          <w:rFonts w:ascii="Yu Gothic" w:cs="Yu Gothic" w:eastAsia="Yu Gothic" w:hAnsi="Yu Gothic"/>
        </w:rPr>
        <w:t xml:space="preserve">・</w:t>
      </w:r>
      <w:r>
        <w:rPr>
          <w:rFonts w:ascii="Yu Gothic" w:cs="Yu Gothic" w:eastAsia="Yu Gothic" w:hAnsi="Yu Gothic"/>
          <w:b/>
          <w:bCs/>
        </w:rPr>
        <w:t xml:space="preserve">稼働率が原因なら → 需要創出・価格設定・販路が打ち手。ハード支援では解決しない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&gt;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後者が正しい。したがって、初期提案Vol2が市に求めているCAPEX支援（物件無償貸与・改修費負担・税免除）は、たとえ全額実現しても本質的な問題を解決しない。</w:t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4. 判断が分かれる論点（要議論）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4-1. 判定ラベル：PIVOT を採用する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相手方が優れる。当方のFSを改める。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4-2. 「体験のみ」の事業規模の評価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/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当方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相手方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体験ポートフォリオの年間売上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約25.3百万円（現行キャパ制約下の上限）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Base 30.8百万円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評価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「ENOWAの独立事業としては小さすぎる。Gate 1の検証装置」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「Option E＝NOW。5.4年FCF回収」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数値は近い（25.3 vs 30.8百万円）。評価も実質同じ。</w:t>
      </w:r>
    </w:p>
    <w:p>
      <w:pPr>
        <w:spacing w:after="120" w:line="300"/>
      </w:pPr>
      <w:r>
        <w:rPr>
          <w:rFonts w:ascii="Yu Gothic" w:cs="Yu Gothic" w:eastAsia="Yu Gothic" w:hAnsi="Yu Gothic"/>
        </w:rPr>
        <w:t xml:space="preserve">ただし相手方は Base EBITDA 5.282百万円 に対し「共通Destination Office費、法人税、運転資金、ENOWA本社配賦を含まない」と自ら注記しており、</w:t>
      </w:r>
      <w:r>
        <w:rPr>
          <w:rFonts w:ascii="Yu Gothic" w:cs="Yu Gothic" w:eastAsia="Yu Gothic" w:hAnsi="Yu Gothic"/>
          <w:b/>
          <w:bCs/>
        </w:rPr>
        <w:t xml:space="preserve">これらを乗せると Base EBITDA はほぼ消える。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両者の結論は一致する：体験ポートフォリオは「事業」ではなく「検証装置」として位置づけるべきである。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4-3. Water Index の扱い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/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当方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相手方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位置づけ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NOW（最優先）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NOW-enabler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予算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30〜50万円（既存データの再編集を主とする）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8百万円</w:t>
            </w:r>
            <w:r>
              <w:rPr>
                <w:rFonts w:ascii="Yu Gothic" w:cs="Yu Gothic" w:eastAsia="Yu Gothic" w:hAnsi="Yu Gothic"/>
              </w:rPr>
              <w:t xml:space="preserve">（4季・full panel・官能試験）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当方は「市が41地点×40項目を毎年測定しており、既存データの再編集で相当部分が実現できる」ことを発見しているため、初期費用を大幅に低く見積もっている。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推奨：まず既存データの開示請求（費用ゼロ）→ 不足項目のみ追加測定。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  <w:b/>
          <w:bCs/>
        </w:rPr>
        <w:t xml:space="preserve">いきなり8百万円の4季プロトコルを組む前に、市の環境・水循環課への照会を先行させるべきである。</w:t>
      </w:r>
    </w:p>
    <w:p>
      <w:pPr>
        <w:pBdr>
          <w:left w:val="single" w:color="3F5E39" w:sz="12" w:space="8"/>
        </w:pBdr>
        <w:shd w:fill="F2F4EF" w:color="auto" w:val="clear"/>
        <w:spacing w:after="60" w:before="60" w:line="300"/>
        <w:ind w:left="280"/>
      </w:pPr>
      <w:r>
        <w:rPr>
          <w:rFonts w:ascii="Yu Gothic" w:cs="Yu Gothic" w:eastAsia="Yu Gothic" w:hAnsi="Yu Gothic"/>
        </w:rPr>
        <w:t xml:space="preserve">ただし相手方の「blind triangle test、2回以上の独立再現、多重比較補正」という官能試験の設計要件は厳密であり、</w:t>
      </w:r>
      <w:r>
        <w:rPr>
          <w:rFonts w:ascii="Yu Gothic" w:cs="Yu Gothic" w:eastAsia="Yu Gothic" w:hAnsi="Yu Gothic"/>
          <w:b/>
          <w:bCs/>
        </w:rPr>
        <w:t xml:space="preserve">これは採用すべき。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4-4. 酒蔵の数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/>
            </w:r>
          </w:p>
        </w:tc>
        <w:tc>
          <w:tcPr>
            <w:tcW w:type="dxa" w:w="3180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当方</w:t>
            </w:r>
          </w:p>
        </w:tc>
        <w:tc>
          <w:tcPr>
            <w:tcW w:type="dxa" w:w="4338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相手方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大野市の酒蔵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4蔵（うち源平酒造は2024年に民事再生申請）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3社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9/2の視察で南部酒造場社長は「大野市では日本酒を作っているのは3社、以前は4社」と述べている。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</w:rPr>
        <w:t xml:space="preserve">両者を統合すると「現に稼働しているのは3社。4社目（源平酒造）は経営再建中」が正確である。</w:t>
      </w:r>
    </w:p>
    <w:p>
      <w:pPr>
        <w:pStyle w:val="Heading1"/>
        <w:pBdr>
          <w:bottom w:val="single" w:color="3F5E39" w:sz="10" w:space="8"/>
        </w:pBdr>
        <w:spacing w:after="160" w:before="420"/>
      </w:pPr>
      <w:r>
        <w:rPr>
          <w:rFonts w:ascii="Yu Gothic" w:cs="Yu Gothic" w:eastAsia="Yu Gothic" w:hAnsi="Yu Gothic"/>
          <w:b/>
          <w:bCs/>
          <w:color w:val="1E1E1E"/>
          <w:sz w:val="32"/>
          <w:szCs w:val="32"/>
        </w:rPr>
        <w:t xml:space="preserve">5. 統合後の推奨アクション</w:t>
      </w: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5-1. 当方FSの修正事項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#</w:t>
            </w:r>
          </w:p>
        </w:tc>
        <w:tc>
          <w:tcPr>
            <w:tcW w:type="dxa" w:w="6747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修正内容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判定ラベルを CONDITIONAL GO → PIVOT に変更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観光統計を令和7年（2025年）値に更新</w:t>
            </w:r>
            <w:r>
              <w:rPr>
                <w:rFonts w:ascii="Yu Gothic" w:cs="Yu Gothic" w:eastAsia="Yu Gothic" w:hAnsi="Yu Gothic"/>
              </w:rPr>
              <w:t xml:space="preserve">（1,947,000／82,000／▲10.0%）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「海外姉妹都市がない」→「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2018年の水資源MoUが存在するが休眠状態</w:t>
            </w:r>
            <w:r>
              <w:rPr>
                <w:rFonts w:ascii="Yu Gothic" w:cs="Yu Gothic" w:eastAsia="Yu Gothic" w:hAnsi="Yu Gothic"/>
              </w:rPr>
              <w:t xml:space="preserve">」に修正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BCPに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豪雨・鉄道途絶</w:t>
            </w:r>
            <w:r>
              <w:rPr>
                <w:rFonts w:ascii="Yu Gothic" w:cs="Yu Gothic" w:eastAsia="Yu Gothic" w:hAnsi="Yu Gothic"/>
              </w:rPr>
              <w:t xml:space="preserve">を追加（2026-08-29の実例）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競合に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郡上八幡（水の城下町）</w:t>
            </w:r>
            <w:r>
              <w:rPr>
                <w:rFonts w:ascii="Yu Gothic" w:cs="Yu Gothic" w:eastAsia="Yu Gothic" w:hAnsi="Yu Gothic"/>
              </w:rPr>
              <w:t xml:space="preserve">と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飛騨高山（規模比較）</w:t>
            </w:r>
            <w:r>
              <w:rPr>
                <w:rFonts w:ascii="Yu Gothic" w:cs="Yu Gothic" w:eastAsia="Yu Gothic" w:hAnsi="Yu Gothic"/>
              </w:rPr>
              <w:t xml:space="preserve">を追加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6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Governanceを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PoC＝DMO主導、資産投資時＝SPC</w:t>
            </w:r>
            <w:r>
              <w:rPr>
                <w:rFonts w:ascii="Yu Gothic" w:cs="Yu Gothic" w:eastAsia="Yu Gothic" w:hAnsi="Yu Gothic"/>
              </w:rPr>
              <w:t xml:space="preserve">の段階設計に修正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7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Last mileの所要時間帯を追加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5-2. 相手方へ提起すべき事項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#</w:t>
            </w:r>
          </w:p>
        </w:tc>
        <w:tc>
          <w:tcPr>
            <w:tcW w:type="dxa" w:w="6747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提起内容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Hotel OptionsのCAPEX前提の出典を示すこと。</w:t>
            </w:r>
            <w:r>
              <w:rPr>
                <w:rFonts w:ascii="Yu Gothic" w:cs="Yu Gothic" w:eastAsia="Yu Gothic" w:hAnsi="Yu Gothic"/>
              </w:rPr>
              <w:t xml:space="preserve">実勢（DBJ 10.7／講 30.8百万円/室）との3.7〜14倍の乖離の説明を求める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稼働率45〜48%の出典を示すこと。</w:t>
            </w:r>
            <w:r>
              <w:rPr>
                <w:rFonts w:ascii="Yu Gothic" w:cs="Yu Gothic" w:eastAsia="Yu Gothic" w:hAnsi="Yu Gothic"/>
              </w:rPr>
              <w:t xml:space="preserve">福井県旅館平均27.4%（観光庁2024確定値）とDBJ標準30%を反映した再計算を求める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硬度42–56mg/Lの出典を再確認すること。</w:t>
            </w:r>
            <w:r>
              <w:rPr>
                <w:rFonts w:ascii="Yu Gothic" w:cs="Yu Gothic" w:eastAsia="Yu Gothic" w:hAnsi="Yu Gothic"/>
              </w:rPr>
              <w:t xml:space="preserve">引用元のS05に当該データは存在しない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IRR計算式の修正</w:t>
            </w:r>
            <w:r>
              <w:rPr>
                <w:rFonts w:ascii="Yu Gothic" w:cs="Yu Gothic" w:eastAsia="Yu Gothic" w:hAnsi="Yu Gothic"/>
              </w:rPr>
              <w:t xml:space="preserve">（CAGRではなくIRRへ）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DSCRの分子をCFADSへ修正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6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デリスキング枠の金額を2,500万円／3,300万円のいずれかに統一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Yu Gothic" w:cs="Yu Gothic" w:eastAsia="Yu Gothic" w:hAnsi="Yu Gothic"/>
          <w:b/>
          <w:bCs/>
          <w:color w:val="1E1E1E"/>
          <w:sz w:val="25"/>
          <w:szCs w:val="25"/>
        </w:rPr>
        <w:t xml:space="preserve">5-3. 両チーム共通の未解決事項</w:t>
      </w:r>
    </w:p>
    <w:tbl>
      <w:tblPr>
        <w:tblW w:type="dxa" w:w="9638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#</w:t>
            </w:r>
          </w:p>
        </w:tc>
        <w:tc>
          <w:tcPr>
            <w:tcW w:type="dxa" w:w="6747"/>
            <w:shd w:fill="ED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事項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令和7年に観光入込が10%減少した要因が未検証</w:t>
            </w:r>
            <w:r>
              <w:rPr>
                <w:rFonts w:ascii="Yu Gothic" w:cs="Yu Gothic" w:eastAsia="Yu Gothic" w:hAnsi="Yu Gothic"/>
              </w:rPr>
              <w:t xml:space="preserve">（郊外観光地が▲12.0%と大きい）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大野市の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硬度実測値</w:t>
            </w:r>
            <w:r>
              <w:rPr>
                <w:rFonts w:ascii="Yu Gothic" w:cs="Yu Gothic" w:eastAsia="Yu Gothic" w:hAnsi="Yu Gothic"/>
              </w:rPr>
              <w:t xml:space="preserve">は依然として未取得。市への直接照会が必要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越前大野城の入場者数</w:t>
            </w:r>
            <w:r>
              <w:rPr>
                <w:rFonts w:ascii="Yu Gothic" w:cs="Yu Gothic" w:eastAsia="Yu Gothic" w:hAnsi="Yu Gothic"/>
              </w:rPr>
              <w:t xml:space="preserve">が統計に非公表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大野市の客室数</w:t>
            </w:r>
            <w:r>
              <w:rPr>
                <w:rFonts w:ascii="Yu Gothic" w:cs="Yu Gothic" w:eastAsia="Yu Gothic" w:hAnsi="Yu Gothic"/>
              </w:rPr>
              <w:t xml:space="preserve">（衛生統計は奥越＝大野＋勝山の合算、県観光統計は収容人員のみ）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</w:rPr>
              <w:t xml:space="preserve">無農薬米生産者との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醸造連携の可能性</w:t>
            </w:r>
            <w:r>
              <w:rPr>
                <w:rFonts w:ascii="Yu Gothic" w:cs="Yu Gothic" w:eastAsia="Yu Gothic" w:hAnsi="Yu Gothic"/>
              </w:rPr>
              <w:t xml:space="preserve">（9/2の記録が質問の直前で終了）</w:t>
            </w:r>
          </w:p>
        </w:tc>
      </w:tr>
    </w:tbl>
    <w:p>
      <w:pPr>
        <w:spacing w:after="200"/>
      </w:pPr>
    </w:p>
    <w:p>
      <w:pPr>
        <w:pBdr>
          <w:bottom w:val="single" w:color="C8C8C8" w:sz="4" w:space="1"/>
        </w:pBdr>
        <w:spacing w:after="200" w:before="100"/>
      </w:pPr>
    </w:p>
    <w:p>
      <w:pPr>
        <w:spacing w:before="240"/>
        <w:jc w:val="center"/>
      </w:pPr>
      <w:r>
        <w:rPr>
          <w:rFonts w:ascii="Yu Gothic" w:cs="Yu Gothic" w:eastAsia="Yu Gothic" w:hAnsi="Yu Gothic"/>
          <w:i/>
          <w:iCs/>
          <w:color w:val="5A5A5A"/>
          <w:sz w:val="18"/>
          <w:szCs w:val="18"/>
        </w:rPr>
        <w:t xml:space="preserve">大野市 × ENOWA｜FS相互検証メモ v1.0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E1E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FS相互検証メモ 大野市 × ENOWA｜Red Team 二重検証の突合</dc:title>
  <dc:creator>ENOWA OONO</dc:creator>
  <cp:lastModifiedBy>Un-named</cp:lastModifiedBy>
  <cp:revision>1</cp:revision>
  <dcterms:created xsi:type="dcterms:W3CDTF">2026-09-02T14:03:42.124Z</dcterms:created>
  <dcterms:modified xsi:type="dcterms:W3CDTF">2026-09-02T14:03:42.124Z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