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Yu Gothic" w:cs="Yu Gothic" w:eastAsia="Yu Gothic" w:hAnsi="Yu Gothic"/>
          <w:b/>
          <w:bCs/>
          <w:color w:val="1F4E5F"/>
          <w:sz w:val="30"/>
          <w:szCs w:val="30"/>
        </w:rPr>
        <w:t xml:space="preserve">大野市 × ENOWA｜エグゼクティブサマリー</w:t>
      </w:r>
    </w:p>
    <w:p>
      <w:pPr>
        <w:spacing w:after="80"/>
      </w:pPr>
      <w:r>
        <w:rPr>
          <w:rFonts w:ascii="Yu Gothic" w:cs="Yu Gothic" w:eastAsia="Yu Gothic" w:hAnsi="Yu Gothic"/>
          <w:color w:val="666666"/>
          <w:sz w:val="15"/>
          <w:szCs w:val="15"/>
        </w:rPr>
        <w:t xml:space="preserve">統合版 Feasibility Study v2.0（Red Team 二重検証）の要約　　2026年9月3日　　Evidence：A=公的統計 / E=9月1-2日ヒアリング / F=本FS推定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F4E5F" w:sz="12"/>
              <w:left w:val="single" w:color="1F4E5F" w:sz="12"/>
              <w:bottom w:val="single" w:color="1F4E5F" w:sz="12"/>
              <w:right w:val="single" w:color="1F4E5F" w:sz="12"/>
            </w:tcBorders>
            <w:shd w:fill="F3F6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line="260"/>
            </w:pPr>
            <w:r>
              <w:rPr>
                <w:rFonts w:ascii="Yu Gothic" w:cs="Yu Gothic" w:eastAsia="Yu Gothic" w:hAnsi="Yu Gothic"/>
                <w:b/>
                <w:bCs/>
                <w:color w:val="B03A2E"/>
                <w:sz w:val="24"/>
                <w:szCs w:val="24"/>
              </w:rPr>
              <w:t xml:space="preserve">判定：PIVOT　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8"/>
                <w:szCs w:val="18"/>
              </w:rPr>
              <w:t xml:space="preserve">― 地域資産と市の協力は揃っている。足りないのは「来る理由」。大型投資の前に、需要を作る起爆剤をトライアルで検証する。</w:t>
            </w:r>
          </w:p>
          <w:p>
            <w:pPr>
              <w:spacing w:after="40" w:before="0" w:line="25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宿泊開発を伴う Destination Development から、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既存資産（文化財・蔵・水）を使った有料トライアル ＋ 水の科学・保全基盤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へ事業定義を変える。GOではなく、NO-GOでもない。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「NO」ではなく「NOT YET」。</w:t>
            </w:r>
          </w:p>
        </w:tc>
      </w:tr>
    </w:tbl>
    <w:p>
      <w:pPr>
        <w:pBdr>
          <w:bottom w:val="single" w:color="1F4E5F" w:sz="6" w:space="1"/>
        </w:pBdr>
        <w:spacing w:after="40" w:before="120"/>
      </w:pPr>
      <w:r>
        <w:rPr>
          <w:rFonts w:ascii="Yu Gothic" w:cs="Yu Gothic" w:eastAsia="Yu Gothic" w:hAnsi="Yu Gothic"/>
          <w:b/>
          <w:bCs/>
          <w:color w:val="1F4E5F"/>
          <w:sz w:val="20"/>
          <w:szCs w:val="20"/>
        </w:rPr>
        <w:t xml:space="preserve">1. 視察で分かったこと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8"/>
      </w:tblGrid>
      <w:tr>
        <w:trPr>
          <w:tblHeader/>
        </w:trPr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◎ 有用な地域資産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◎ 市の協力が見込める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▲ 最大の課題：観光客流入の起爆剤</w:t>
            </w:r>
          </w:p>
        </w:tc>
      </w:tr>
      <w:tr>
        <w:trPr>
          <w:tblHeader w:val="false"/>
        </w:trPr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・麹から一貫の醤油：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県内18社中1社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〔E〕</w:t>
            </w:r>
          </w:p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・純米酒からの静置発酵酢：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国内約1%、98%県外販売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〔E〕</w:t>
            </w:r>
          </w:p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・家業295年の酒蔵、100年古酒の研究〔E〕</w:t>
            </w:r>
          </w:p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・名水百選×2、市街約7,000世帯が自家井戸で暮らす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「地下水で生きる街」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〔A/E〕</w:t>
            </w:r>
          </w:p>
        </w:tc>
        <w:tc>
          <w:tcPr>
            <w:tcW w:type="dxa" w:w="3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・重要文化財への宿泊利用など、市側の協力姿勢が確認できている</w:t>
            </w:r>
          </w:p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・水質データ：市が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41か所×40項目を毎年測定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済み〔A〕</w:t>
            </w:r>
          </w:p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・使える制度：景観形成地区の修景補助（6/10・上限300万円）、過疎地域の固定資産税免除（3年度分）〔A〕</w:t>
            </w:r>
          </w:p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・大学連携（5大学）、2018年の仏エロー広域連合との水資源MoU（休眠中）〔A〕</w:t>
            </w:r>
          </w:p>
        </w:tc>
        <w:tc>
          <w:tcPr>
            <w:tcW w:type="dxa" w:w="3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・入込 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194.7万人（R7、前年比▲10.0%）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、宿泊 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8.2万人（4.2%）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〔A〕。新幹線効果は持続していない</w:t>
            </w:r>
          </w:p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・発地は関西38%・中京25%・首都圏11%。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外国人宿泊比率は県で2.3%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〔A〕</w:t>
            </w:r>
          </w:p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・県の旅館稼働率 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27.4%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〔A〕は、本FSの損益分岐（約35%）を下回る</w:t>
            </w:r>
          </w:p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・蔵の体験は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現在停止中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（人手）〔E〕。人口5年で▲11.3%〔A〕</w:t>
            </w:r>
          </w:p>
        </w:tc>
      </w:tr>
    </w:tbl>
    <w:p>
      <w:pPr>
        <w:pBdr>
          <w:bottom w:val="single" w:color="1F4E5F" w:sz="6" w:space="1"/>
        </w:pBdr>
        <w:spacing w:after="40" w:before="120"/>
      </w:pPr>
      <w:r>
        <w:rPr>
          <w:rFonts w:ascii="Yu Gothic" w:cs="Yu Gothic" w:eastAsia="Yu Gothic" w:hAnsi="Yu Gothic"/>
          <w:b/>
          <w:bCs/>
          <w:color w:val="1F4E5F"/>
          <w:sz w:val="20"/>
          <w:szCs w:val="20"/>
        </w:rPr>
        <w:t xml:space="preserve">2. 数字が語ること ― 成立しない原因は CAPEX ではなく稼働率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700"/>
        <w:gridCol w:w="296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構成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前提（最良証拠）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含意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宿泊 8室（町家分散）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稼働27.4〜30% × 改修30.8〜40.0百万円/室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IRR ▲1〜▲4%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。12室新築・10室改修でも全ケース負〔F〕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改修費を実勢最安値まで下げても稼働27.4%では成立しない。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改修費補助は解決策にならない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体験ポートフォリオ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蔵の受入上限を適用（発酵体験 年48回）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EBITDA 3.4百万円、IRR 0.5%〔F〕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単体では事業にならない。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需要と支払意向を測る検証装置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補助金依存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提案書Vol2・DBJ調査・本FSの3者が一致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補助金50%以上なしでは不成立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〔A'/A/F〕</w:t>
            </w:r>
          </w:p>
        </w:tc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民間単独投資としては現時点でNO</w:t>
            </w:r>
          </w:p>
        </w:tc>
      </w:tr>
    </w:tbl>
    <w:p>
      <w:pPr>
        <w:pBdr>
          <w:bottom w:val="single" w:color="1F4E5F" w:sz="6" w:space="1"/>
        </w:pBdr>
        <w:spacing w:after="40" w:before="120"/>
      </w:pPr>
      <w:r>
        <w:rPr>
          <w:rFonts w:ascii="Yu Gothic" w:cs="Yu Gothic" w:eastAsia="Yu Gothic" w:hAnsi="Yu Gothic"/>
          <w:b/>
          <w:bCs/>
          <w:color w:val="1F4E5F"/>
          <w:sz w:val="20"/>
          <w:szCs w:val="20"/>
        </w:rPr>
        <w:t xml:space="preserve">3. 水の扱い ― 科学はある。課題は「見せ方・打ち出し方」</w:t>
      </w:r>
    </w:p>
    <w:p>
      <w:pPr>
        <w:spacing w:after="40" w:before="0" w:line="250"/>
      </w:pPr>
      <w:r>
        <w:rPr>
          <w:rFonts w:ascii="Yu Gothic" w:cs="Yu Gothic" w:eastAsia="Yu Gothic" w:hAnsi="Yu Gothic"/>
          <w:color w:val="1A1A1A"/>
          <w:sz w:val="17"/>
          <w:szCs w:val="17"/>
        </w:rPr>
        <w:t xml:space="preserve">アカデミックな研究と市の測定データは既に存在する。一方、</w:t>
      </w:r>
      <w:r>
        <w:rPr>
          <w:rFonts w:ascii="Yu Gothic" w:cs="Yu Gothic" w:eastAsia="Yu Gothic" w:hAnsi="Yu Gothic"/>
          <w:b/>
          <w:bCs/>
          <w:color w:val="1A1A1A"/>
          <w:sz w:val="17"/>
          <w:szCs w:val="17"/>
        </w:rPr>
        <w:t xml:space="preserve">「水源ごとに味が違う」は生産者本人が「比較できない、分からない」と述べており</w:t>
      </w:r>
      <w:r>
        <w:rPr>
          <w:rFonts w:ascii="Yu Gothic" w:cs="Yu Gothic" w:eastAsia="Yu Gothic" w:hAnsi="Yu Gothic"/>
          <w:color w:val="1A1A1A"/>
          <w:sz w:val="17"/>
          <w:szCs w:val="17"/>
        </w:rPr>
        <w:t xml:space="preserve">〔E〕、味の差を主語にする訴求は根拠を欠く。打ち出すべきは</w:t>
      </w:r>
      <w:r>
        <w:rPr>
          <w:rFonts w:ascii="Yu Gothic" w:cs="Yu Gothic" w:eastAsia="Yu Gothic" w:hAnsi="Yu Gothic"/>
          <w:b/>
          <w:bCs/>
          <w:color w:val="1A1A1A"/>
          <w:sz w:val="17"/>
          <w:szCs w:val="17"/>
        </w:rPr>
        <w:t xml:space="preserve">「7,000世帯が井戸水で暮らし、蔵が仕込み水に使い、市が1割の揚水削減目標を持つ街」という生活様式と保全の物語</w:t>
      </w:r>
      <w:r>
        <w:rPr>
          <w:rFonts w:ascii="Yu Gothic" w:cs="Yu Gothic" w:eastAsia="Yu Gothic" w:hAnsi="Yu Gothic"/>
          <w:color w:val="1A1A1A"/>
          <w:sz w:val="17"/>
          <w:szCs w:val="17"/>
        </w:rPr>
        <w:t xml:space="preserve">であり、味ではなく</w:t>
      </w:r>
      <w:r>
        <w:rPr>
          <w:rFonts w:ascii="Yu Gothic" w:cs="Yu Gothic" w:eastAsia="Yu Gothic" w:hAnsi="Yu Gothic"/>
          <w:b/>
          <w:bCs/>
          <w:color w:val="1A1A1A"/>
          <w:sz w:val="17"/>
          <w:szCs w:val="17"/>
        </w:rPr>
        <w:t xml:space="preserve">工程の希少性（麹一貫・静置発酵・古酒）を主語</w:t>
      </w:r>
      <w:r>
        <w:rPr>
          <w:rFonts w:ascii="Yu Gothic" w:cs="Yu Gothic" w:eastAsia="Yu Gothic" w:hAnsi="Yu Gothic"/>
          <w:color w:val="1A1A1A"/>
          <w:sz w:val="17"/>
          <w:szCs w:val="17"/>
        </w:rPr>
        <w:t xml:space="preserve">に置く。〔F〕</w:t>
      </w:r>
    </w:p>
    <w:p>
      <w:pPr>
        <w:pBdr>
          <w:bottom w:val="single" w:color="1F4E5F" w:sz="6" w:space="1"/>
        </w:pBdr>
        <w:spacing w:after="40" w:before="120"/>
      </w:pPr>
      <w:r>
        <w:rPr>
          <w:rFonts w:ascii="Yu Gothic" w:cs="Yu Gothic" w:eastAsia="Yu Gothic" w:hAnsi="Yu Gothic"/>
          <w:b/>
          <w:bCs/>
          <w:color w:val="1F4E5F"/>
          <w:sz w:val="20"/>
          <w:szCs w:val="20"/>
        </w:rPr>
        <w:t xml:space="preserve">4. 提案 ― 起爆剤を「作る」のではなく「測る」トライアル（18ヶ月・枠3,300万円）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2900"/>
        <w:gridCol w:w="226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主体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トライアル内容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測るもの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通過基準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ENOWA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文化財宿泊 × ENOWA限定の食イベント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（Water Pairing Dinner、期間限定・少席）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ADR・支払意向・集客充足率・関西/中京/首都圏/海外の実際の発地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実売価格中央値 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17,500円以上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、充足率 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50%以上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大野市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水をフィーチャーしたイベント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（御清水・井戸めぐり、湧水の季節行事、水循環研究の公開発表など）＋既存水質データの提供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日帰り→宿泊への転換率、令和7年▲10%の要因、海外MoUの現況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宿泊比率が対象期間で 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6%以上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（現状4.2%）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共同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蔵（酒・酢・醤油）の体験再開に向けた</w:t>
            </w: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対価を伴う受入条件の確定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受入可能回数・人手・対価の水準</w:t>
            </w:r>
          </w:p>
        </w:tc>
        <w:tc>
          <w:tcPr>
            <w:tcW w:type="dxa" w:w="2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2者以上の書面合意</w:t>
            </w: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（3ヶ月以内）</w:t>
            </w:r>
          </w:p>
        </w:tc>
      </w:tr>
    </w:tbl>
    <w:p>
      <w:pPr>
        <w:spacing w:after="40" w:before="40" w:line="250"/>
      </w:pPr>
      <w:r>
        <w:rPr>
          <w:rFonts w:ascii="Yu Gothic" w:cs="Yu Gothic" w:eastAsia="Yu Gothic" w:hAnsi="Yu Gothic"/>
          <w:b/>
          <w:bCs/>
          <w:color w:val="1A1A1A"/>
          <w:sz w:val="17"/>
          <w:szCs w:val="17"/>
        </w:rPr>
        <w:t xml:space="preserve">ゲート通過 →</w:t>
      </w:r>
      <w:r>
        <w:rPr>
          <w:rFonts w:ascii="Yu Gothic" w:cs="Yu Gothic" w:eastAsia="Yu Gothic" w:hAnsi="Yu Gothic"/>
          <w:color w:val="1A1A1A"/>
          <w:sz w:val="17"/>
          <w:szCs w:val="17"/>
        </w:rPr>
        <w:t xml:space="preserve"> 8室以上の宿泊投資を再スクリーン（4〜6室案は不採用）。</w:t>
      </w:r>
      <w:r>
        <w:rPr>
          <w:rFonts w:ascii="Yu Gothic" w:cs="Yu Gothic" w:eastAsia="Yu Gothic" w:hAnsi="Yu Gothic"/>
          <w:b/>
          <w:bCs/>
          <w:color w:val="1A1A1A"/>
          <w:sz w:val="17"/>
          <w:szCs w:val="17"/>
        </w:rPr>
        <w:t xml:space="preserve">未達 →</w:t>
      </w:r>
      <w:r>
        <w:rPr>
          <w:rFonts w:ascii="Yu Gothic" w:cs="Yu Gothic" w:eastAsia="Yu Gothic" w:hAnsi="Yu Gothic"/>
          <w:color w:val="1A1A1A"/>
          <w:sz w:val="17"/>
          <w:szCs w:val="17"/>
        </w:rPr>
        <w:t xml:space="preserve"> 産品のブランド展開（Export Model：酢の98%県外販売が実証済み）へ主軸を移す。いずれの場合も地域に負債を残さない。</w:t>
      </w:r>
    </w:p>
    <w:p>
      <w:pPr>
        <w:pBdr>
          <w:bottom w:val="single" w:color="1F4E5F" w:sz="6" w:space="1"/>
        </w:pBdr>
        <w:spacing w:after="40" w:before="120"/>
      </w:pPr>
      <w:r>
        <w:rPr>
          <w:rFonts w:ascii="Yu Gothic" w:cs="Yu Gothic" w:eastAsia="Yu Gothic" w:hAnsi="Yu Gothic"/>
          <w:b/>
          <w:bCs/>
          <w:color w:val="1F4E5F"/>
          <w:sz w:val="20"/>
          <w:szCs w:val="20"/>
        </w:rPr>
        <w:t xml:space="preserve">5. 投資委員会への回答（自己資金3億円・補助金/好意/ブランド期待を除外）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86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配分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金額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位置づけ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不動産・ホテル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0円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現実的前提で全ケースIRR負。Gate 2 の8条件（うち6条件が未測定）を満たすまで検討しない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ゲート付き検証枠（うち初回コミット）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b/>
                <w:bCs/>
                <w:color w:val="1A1A1A"/>
                <w:sz w:val="17"/>
                <w:szCs w:val="17"/>
              </w:rPr>
              <w:t xml:space="preserve">3,300万円（1,100万円）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水科学800万円＋WTPテスト300万円を即時。残りはGate通過ごとに解放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残余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2億6,700万円</w:t>
            </w:r>
          </w:p>
        </w:tc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rFonts w:ascii="Yu Gothic" w:cs="Yu Gothic" w:eastAsia="Yu Gothic" w:hAnsi="Yu Gothic"/>
                <w:color w:val="1A1A1A"/>
                <w:sz w:val="17"/>
                <w:szCs w:val="17"/>
              </w:rPr>
              <w:t xml:space="preserve">未コミット</w:t>
            </w:r>
          </w:p>
        </w:tc>
      </w:tr>
    </w:tbl>
    <w:p>
      <w:pPr>
        <w:spacing w:after="40" w:before="40" w:line="250"/>
      </w:pPr>
      <w:r>
        <w:rPr>
          <w:rFonts w:ascii="Yu Gothic" w:cs="Yu Gothic" w:eastAsia="Yu Gothic" w:hAnsi="Yu Gothic"/>
          <w:b/>
          <w:bCs/>
          <w:color w:val="1A1A1A"/>
          <w:sz w:val="17"/>
          <w:szCs w:val="17"/>
        </w:rPr>
        <w:t xml:space="preserve">承認するのは「投資」ではなく「情報取得」である。</w:t>
      </w:r>
      <w:r>
        <w:rPr>
          <w:rFonts w:ascii="Yu Gothic" w:cs="Yu Gothic" w:eastAsia="Yu Gothic" w:hAnsi="Yu Gothic"/>
          <w:color w:val="1A1A1A"/>
          <w:sz w:val="17"/>
          <w:szCs w:val="17"/>
        </w:rPr>
        <w:t xml:space="preserve">90日以内の初動は、市への水質データ照会、蔵4者への受入条件ヒアリング、WTP簡易調査、文化財宿泊×食イベントの企画。費用は最大130万円。</w:t>
      </w:r>
    </w:p>
    <w:sectPr>
      <w:pgSz w:w="11906" w:h="16838" w:orient="portrait"/>
      <w:pgMar w:top="6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2026-09-03T00:34:28.002Z</dcterms:created>
  <dcterms:modified xsi:type="dcterms:W3CDTF">2026-09-03T00:34:28.016Z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