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Find references into math and physics books for simplify this proof citing other 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 Here is a structured list of **math and physics textbook references** that can be used to simplify and support each step of your proof. I have organized them by the logical stages of the argument, indicating exactly which result to cite and how it shortens the reasoning.</w:t>
      </w:r>
    </w:p>
    <w:p>
      <w:r>
        <w:pict>
          <v:rect style="width:0;height:1.5pt" o:hralign="center" o:hrstd="t" o:hr="t"/>
        </w:pict>
      </w:r>
    </w:p>
    <w:bookmarkStart w:id="20" w:name="Xae6ad1187d9f5bbd4d3dab7c4dc3a20c16c9bb9"/>
    <w:p>
      <w:pPr>
        <w:pStyle w:val="3"/>
      </w:pPr>
      <w:r>
        <w:t xml:space="preserve">1. The Gelfand–Naimark Correspondence (Topology of</w:t>
      </w:r>
      <w:r>
        <w:t xml:space="preserve"> </w:t>
      </w:r>
      <m:oMath>
        <m:r>
          <m:t>X</m:t>
        </m:r>
      </m:oMath>
      <w:r>
        <w:t xml:space="preserve">)</w:t>
      </w:r>
    </w:p>
    <w:p>
      <w:pPr>
        <w:pStyle w:val="FirstParagraph"/>
      </w:pPr>
      <w:r>
        <w:t xml:space="preserve">Your proof begins with a commutative unital C*-algebra</w:t>
      </w:r>
      <w:r>
        <w:t xml:space="preserve"> </w:t>
      </w:r>
      <w:r>
        <w:t xml:space="preserve">$\A$</w:t>
      </w:r>
      <w:r>
        <w:t xml:space="preserve"> </w:t>
      </w:r>
      <w:r>
        <w:t xml:space="preserve">and its spectrum</w:t>
      </w:r>
      <w:r>
        <w:t xml:space="preserve"> </w:t>
      </w:r>
      <m:oMath>
        <m:r>
          <m:t>X</m:t>
        </m:r>
      </m:oMath>
      <w:r>
        <w:t xml:space="preserve">. The compactness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the fact that</w:t>
      </w:r>
      <w:r>
        <w:t xml:space="preserve"> </w:t>
      </w:r>
      <w:r>
        <w:t xml:space="preserve">$\A \cong C(X)$</w:t>
      </w:r>
      <w:r>
        <w:t xml:space="preserve"> </w:t>
      </w:r>
      <w:r>
        <w:t xml:space="preserve">are immediate from the classical theorem.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2376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simplifies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G. J. Murphy,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i/>
                <w:iCs/>
              </w:rPr>
              <w:t xml:space="preserve">-Algebras and Operator Theory</w:t>
            </w:r>
            <w:r>
              <w:t xml:space="preserve">, Academic Press, 1990.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2.1.10</w:t>
            </w:r>
            <w:r>
              <w:t xml:space="preserve"> </w:t>
            </w:r>
            <w:r>
              <w:t xml:space="preserve">(Gelfand–Naimark theorem for commutative C*-algebras).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not justify why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compact Hausdorff or why</w:t>
            </w:r>
            <w:r>
              <w:t xml:space="preserve"> </w:t>
            </w:r>
            <w:r>
              <w:t xml:space="preserve">$\A \cong C(X)$</w:t>
            </w:r>
            <w:r>
              <w:t xml:space="preserve"> </w:t>
            </w:r>
            <w:r>
              <w:t xml:space="preserve">via the Gelfand transform. The theorem gives both the homeomorphism</w:t>
            </w:r>
            <w:r>
              <w:t xml:space="preserve"> </w:t>
            </w:r>
            <w:r>
              <w:t xml:space="preserve">$X \cong \sigma(\A)$</w:t>
            </w:r>
            <w:r>
              <w:t xml:space="preserve"> </w:t>
            </w:r>
            <w:r>
              <w:t xml:space="preserve">and the isomorphism</w:t>
            </w:r>
            <w:r>
              <w:t xml:space="preserve"> </w:t>
            </w:r>
            <w:r>
              <w:t xml:space="preserve">$\A \cong C(X)$</w:t>
            </w:r>
            <w:r>
              <w:t xml:space="preserve"> </w:t>
            </w:r>
            <w:r>
              <w:t xml:space="preserve">in one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J. Dixmier,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i/>
                <w:iCs/>
              </w:rPr>
              <w:t xml:space="preserve">-Algebras</w:t>
            </w:r>
            <w:r>
              <w:t xml:space="preserve">, North-Holland, 1982.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§2.1–2.3</w:t>
            </w:r>
            <w:r>
              <w:t xml:space="preserve"> </w:t>
            </w:r>
            <w:r>
              <w:t xml:space="preserve">(Gelfand theory).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Dixmier gives the cleanest functorial statement: the category of commutative unital C*-algebras is dual to the category of compact Hausdorff spaces. This justifies the evaluation map</w:t>
            </w:r>
            <w:r>
              <w:t xml:space="preserve"> </w:t>
            </w:r>
            <w:r>
              <w:t xml:space="preserve">$\mathrm{ev}: X \to \sigma(\A^\infty)$</w:t>
            </w:r>
            <w:r>
              <w:t xml:space="preserve"> </w:t>
            </w:r>
            <w:r>
              <w:t xml:space="preserve">as the dual of the inclusion</w:t>
            </w:r>
            <w:r>
              <w:t xml:space="preserve"> </w:t>
            </w:r>
            <w:r>
              <w:t xml:space="preserve">$\A^\infty \hookrightarrow \A$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G. K. Pedersen,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i/>
                <w:iCs/>
              </w:rPr>
              <w:t xml:space="preserve">-Algebras and their Automorphism Groups</w:t>
            </w:r>
            <w:r>
              <w:t xml:space="preserve">, Academic Press, 1979.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§4.1–4.3</w:t>
            </w:r>
            <w:r>
              <w:t xml:space="preserve"> </w:t>
            </w:r>
            <w:r>
              <w:t xml:space="preserve">(characters and the spectrum).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Pedersen proves explicitly that characters are norm-decreasing and that the spectrum (character space) is a weak*-compact Hausdorff space. This covers the topological preliminaries in your proof.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f68587a8348c5ecd80d2fc15acf13735fb78684"/>
    <w:p>
      <w:pPr>
        <w:pStyle w:val="3"/>
      </w:pPr>
      <w:r>
        <w:t xml:space="preserve">2. Extension of Characters from a Dense Subalgebra (Surjectivity)</w:t>
      </w:r>
    </w:p>
    <w:p>
      <w:pPr>
        <w:pStyle w:val="FirstParagraph"/>
      </w:pPr>
      <w:r>
        <w:t xml:space="preserve">The surjectivity of</w:t>
      </w:r>
      <w:r>
        <w:t xml:space="preserve"> </w:t>
      </w:r>
      <w:r>
        <w:t xml:space="preserve">$\mathrm{ev}: X \to \sigma(\A^\infty)$</w:t>
      </w:r>
      <w:r>
        <w:t xml:space="preserve"> </w:t>
      </w:r>
      <w:r>
        <w:t xml:space="preserve">relies on extending a bounded multiplicative functional from</w:t>
      </w:r>
      <w:r>
        <w:t xml:space="preserve"> </w:t>
      </w:r>
      <w:r>
        <w:t xml:space="preserve">$\A^\infty$</w:t>
      </w:r>
      <w:r>
        <w:t xml:space="preserve"> </w:t>
      </w:r>
      <w:r>
        <w:t xml:space="preserve">to</w:t>
      </w:r>
      <w:r>
        <w:t xml:space="preserve"> </w:t>
      </w:r>
      <w:r>
        <w:t xml:space="preserve">$\A$</w:t>
      </w:r>
      <w:r>
        <w:t xml:space="preserve">. This is a standard functional-analytic fact.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2376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simplifies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W. Rudin,</w:t>
            </w:r>
            <w:r>
              <w:t xml:space="preserve"> </w:t>
            </w:r>
            <w:r>
              <w:rPr>
                <w:i/>
                <w:iCs/>
              </w:rPr>
              <w:t xml:space="preserve">Functional Analysis</w:t>
            </w:r>
            <w:r>
              <w:t xml:space="preserve">, 2nd ed., McGraw-Hill, 1991.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11.4</w:t>
            </w:r>
            <w:r>
              <w:t xml:space="preserve"> </w:t>
            </w:r>
            <w:r>
              <w:t xml:space="preserve">(extension of multiplicative linear functionals) or the general Hahn–Banach / BLT extension principle in</w:t>
            </w:r>
            <w:r>
              <w:t xml:space="preserve"> </w:t>
            </w:r>
            <w:r>
              <w:rPr>
                <w:b/>
                <w:bCs/>
              </w:rPr>
              <w:t xml:space="preserve">§5.16–5.19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Rudin proves that a bounded multiplicative functional on a dense subalgebra of a Banach algebra extends uniquely to the closure. You can replace your paragraph on surjectivity with: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By Rudin, Theorem 11.4, every character 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$\A^\infty$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extends uniquely to a character 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$\A$</w:t>
            </w:r>
            <w:r>
              <w:rPr>
                <w:i/>
                <w:iCs/>
              </w:rPr>
              <w:t xml:space="preserve">.</w:t>
            </w:r>
            <w:r>
              <w:rPr>
                <w:i/>
                <w:iCs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R. V. Kadison &amp; J. R. Ringrose,</w:t>
            </w:r>
            <w:r>
              <w:t xml:space="preserve"> </w:t>
            </w:r>
            <w:r>
              <w:rPr>
                <w:i/>
                <w:iCs/>
              </w:rPr>
              <w:t xml:space="preserve">Fundamentals of the Theory of Operator Algebras</w:t>
            </w:r>
            <w:r>
              <w:t xml:space="preserve">, Vol. I, Academic Press, 1983.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Proposition 3.2.20</w:t>
            </w:r>
            <w:r>
              <w:t xml:space="preserve"> </w:t>
            </w:r>
            <w:r>
              <w:t xml:space="preserve">(extension of pure states/characters).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Kadison–Ringrose treat the extension of states from dense subalgebras systematically. A character is a pure state, so the extension is unique by norm continuity.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e237920e8402598145c15c29f3b6f60999adc5"/>
    <w:p>
      <w:pPr>
        <w:pStyle w:val="3"/>
      </w:pPr>
      <w:r>
        <w:t xml:space="preserve">3. The Spectrum of a Smooth Subalgebra</w:t>
      </w:r>
      <w:r>
        <w:t xml:space="preserve"> </w:t>
      </w:r>
      <w:r>
        <w:t xml:space="preserve">$\A^\infty \cong C^\infty(M)$</w:t>
      </w:r>
    </w:p>
    <w:p>
      <w:pPr>
        <w:pStyle w:val="FirstParagraph"/>
      </w:pPr>
      <w:r>
        <w:t xml:space="preserve">You identify</w:t>
      </w:r>
      <w:r>
        <w:t xml:space="preserve"> </w:t>
      </w:r>
      <w:r>
        <w:t xml:space="preserve">$\sigma(\A^\infty) \cong M$</w:t>
      </w:r>
      <w:r>
        <w:t xml:space="preserve">. When a dense Fréchet subalgebra of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smooth</w:t>
      </w:r>
      <w:r>
        <w:t xml:space="preserve">”</w:t>
      </w:r>
      <w:r>
        <w:t xml:space="preserve"> </w:t>
      </w:r>
      <w:r>
        <w:t xml:space="preserve">(closed under holomorphic functional calculus, or spectral invariant), its character space coincides with the underlying topological space.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2376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simplifies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Connes,</w:t>
            </w:r>
            <w:r>
              <w:t xml:space="preserve"> </w:t>
            </w:r>
            <w:r>
              <w:rPr>
                <w:i/>
                <w:iCs/>
              </w:rPr>
              <w:t xml:space="preserve">Noncommutative Geometry</w:t>
            </w:r>
            <w:r>
              <w:t xml:space="preserve">, Academic Press, 1994.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§VI.1</w:t>
            </w:r>
            <w:r>
              <w:t xml:space="preserve"> </w:t>
            </w:r>
            <w:r>
              <w:t xml:space="preserve">(smooth algebras and the reconstruction theorem) and</w:t>
            </w:r>
            <w:r>
              <w:t xml:space="preserve"> </w:t>
            </w:r>
            <w:r>
              <w:rPr>
                <w:b/>
                <w:bCs/>
              </w:rPr>
              <w:t xml:space="preserve">Proposition 1</w:t>
            </w:r>
            <w:r>
              <w:t xml:space="preserve"> </w:t>
            </w:r>
            <w:r>
              <w:t xml:space="preserve">in the proof of the reconstruction theorem.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Connes shows that if a unital Fréchet algebra</w:t>
            </w:r>
            <w:r>
              <w:t xml:space="preserve"> </w:t>
            </w:r>
            <w:r>
              <w:t xml:space="preserve">$\A^\infty$</w:t>
            </w:r>
            <w:r>
              <w:t xml:space="preserve"> </w:t>
            </w:r>
            <w:r>
              <w:t xml:space="preserve">is dense in</w:t>
            </w:r>
            <w: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t xml:space="preserve"> </w:t>
            </w:r>
            <w:r>
              <w:t xml:space="preserve">and stable under holomorphic functional calculus, then</w:t>
            </w:r>
            <w:r>
              <w:t xml:space="preserve"> </w:t>
            </w:r>
            <w:r>
              <w:t xml:space="preserve">$\sigma(\A^\infty) = M$</w:t>
            </w:r>
            <w:r>
              <w:t xml:space="preserve"> </w:t>
            </w:r>
            <w:r>
              <w:t xml:space="preserve">(as sets). This is exactly your surjectivity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J. M. Gracia-Bondía, J. C. Várilly &amp; H. Figueroa,</w:t>
            </w:r>
            <w:r>
              <w:t xml:space="preserve"> </w:t>
            </w:r>
            <w:r>
              <w:rPr>
                <w:i/>
                <w:iCs/>
              </w:rPr>
              <w:t xml:space="preserve">Elements of Noncommutative Geometry</w:t>
            </w:r>
            <w:r>
              <w:t xml:space="preserve">, Birkhäuser, 2001.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§3.4</w:t>
            </w:r>
            <w:r>
              <w:t xml:space="preserve"> </w:t>
            </w:r>
            <w:r>
              <w:t xml:space="preserve">(smooth subalgebras) and</w:t>
            </w:r>
            <w:r>
              <w:t xml:space="preserve"> </w:t>
            </w:r>
            <w:r>
              <w:rPr>
                <w:b/>
                <w:bCs/>
              </w:rPr>
              <w:t xml:space="preserve">Theorem 3.8</w:t>
            </w:r>
            <w:r>
              <w:t xml:space="preserve"> </w:t>
            </w:r>
            <w:r>
              <w:t xml:space="preserve">(spectral invariance implies same spectrum).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prove that if</w:t>
            </w:r>
            <w:r>
              <w:t xml:space="preserve"> </w:t>
            </w:r>
            <w:r>
              <w:t xml:space="preserve">$\mathcal{B} \subseteq \A$</w:t>
            </w:r>
            <w:r>
              <w:t xml:space="preserve"> </w:t>
            </w:r>
            <w:r>
              <w:t xml:space="preserve">is a dense, spectral-invariant (or</w:t>
            </w:r>
            <w:r>
              <w:t xml:space="preserve"> </w:t>
            </w:r>
            <w:r>
              <w:t xml:space="preserve">“</w:t>
            </w:r>
            <w:r>
              <w:t xml:space="preserve">soft</w:t>
            </w:r>
            <w:r>
              <w:t xml:space="preserve">”</w:t>
            </w:r>
            <w:r>
              <w:t xml:space="preserve">) subalgebra, then the restriction map</w:t>
            </w:r>
            <w:r>
              <w:t xml:space="preserve"> </w:t>
            </w:r>
            <w:r>
              <w:t xml:space="preserve">$\sigma(\A) \to \sigma(\mathcal{B})$</w:t>
            </w:r>
            <w:r>
              <w:t xml:space="preserve"> </w:t>
            </w:r>
            <w:r>
              <w:t xml:space="preserve">is a homeomorphism. This gives you</w:t>
            </w:r>
            <w:r>
              <w:t xml:space="preserve"> </w:t>
            </w:r>
            <w:r>
              <w:t xml:space="preserve">$\sigma(\A^\infty) \cong \sigma(\A) \cong M$</w:t>
            </w:r>
            <w:r>
              <w:t xml:space="preserve"> </w:t>
            </w:r>
            <w:r>
              <w:t xml:space="preserve">in one citation.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L. B. Schweitzer,</w:t>
            </w:r>
            <w:r>
              <w:t xml:space="preserve"> </w:t>
            </w:r>
            <w:r>
              <w:t xml:space="preserve">“</w:t>
            </w:r>
            <w:r>
              <w:t xml:space="preserve">Spectral invariance of dense subalgebras of operator algebras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Internat. J. Math.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(1993), 289–317.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Corollary 2.4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Schweitzer proves that for a strongly spectral invariant dense Fréchet subalgebra</w:t>
            </w:r>
            <w:r>
              <w:t xml:space="preserve"> </w:t>
            </w:r>
            <w:r>
              <w:t xml:space="preserve">$\A^\infty \subset \A$</w:t>
            </w:r>
            <w:r>
              <w:t xml:space="preserve">, the character spaces are homeomorphic via restriction. This is the technical backbone for your evaluation map being bijective.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J.-B. Bost,</w:t>
            </w:r>
            <w:r>
              <w:t xml:space="preserve"> </w:t>
            </w:r>
            <w:r>
              <w:t xml:space="preserve">“</w:t>
            </w:r>
            <w:r>
              <w:t xml:space="preserve">Principe d’Oka,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-théorie et systèmes dynamiques non commutatifs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Invent. Math.</w:t>
            </w:r>
            <w:r>
              <w:t xml:space="preserve"> </w:t>
            </w:r>
            <w:r>
              <w:rPr>
                <w:b/>
                <w:bCs/>
              </w:rPr>
              <w:t xml:space="preserve">101</w:t>
            </w:r>
            <w:r>
              <w:t xml:space="preserve"> </w:t>
            </w:r>
            <w:r>
              <w:t xml:space="preserve">(1990), 261–333.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§1.2</w:t>
            </w:r>
            <w:r>
              <w:t xml:space="preserve"> </w:t>
            </w:r>
            <w:r>
              <w:t xml:space="preserve">(soft algebras).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 introduced the term</w:t>
            </w:r>
            <w:r>
              <w:t xml:space="preserve"> </w:t>
            </w:r>
            <w:r>
              <w:rPr>
                <w:i/>
                <w:iCs/>
              </w:rPr>
              <w:t xml:space="preserve">soft subalgebra</w:t>
            </w:r>
            <w:r>
              <w:t xml:space="preserve"> </w:t>
            </w:r>
            <w:r>
              <w:t xml:space="preserve">(subalgebre molle) for dense subalgebras stable under holomorphic functional calculus. He proves that the spectrum of a soft subalgebra equals the spectrum of the C*-algebra.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2522eed8eabdd6273da45ed71a5b8f196910e8"/>
    <w:p>
      <w:pPr>
        <w:pStyle w:val="3"/>
      </w:pPr>
      <w:r>
        <w:t xml:space="preserve">4. Continuous Bijection from Compact to Hausdorff is a Homeomorphism</w:t>
      </w:r>
    </w:p>
    <w:p>
      <w:pPr>
        <w:pStyle w:val="FirstParagraph"/>
      </w:pPr>
      <w:r>
        <w:t xml:space="preserve">This is the topological argument that closes the proof.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2376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simplifies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J. R. Munkres,</w:t>
            </w:r>
            <w:r>
              <w:t xml:space="preserve"> </w:t>
            </w:r>
            <w:r>
              <w:rPr>
                <w:i/>
                <w:iCs/>
              </w:rPr>
              <w:t xml:space="preserve">Topology</w:t>
            </w:r>
            <w:r>
              <w:t xml:space="preserve">, 2nd ed., Prentice Hall, 2000.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26.6</w:t>
            </w:r>
            <w:r>
              <w:t xml:space="preserve"> </w:t>
            </w:r>
            <w:r>
              <w:t xml:space="preserve">(p. 167).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Munkres states and proves exactly: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Let</w:t>
            </w:r>
            <w:r>
              <w:rPr>
                <w:i/>
                <w:i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be a bijective continuous function. If</w:t>
            </w:r>
            <w:r>
              <w:rPr>
                <w:i/>
                <w:iCs/>
              </w:rPr>
              <w:t xml:space="preserve"> </w:t>
            </w:r>
            <m:oMath>
              <m:r>
                <m:t>X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compact and</w:t>
            </w:r>
            <w:r>
              <w:rPr>
                <w:i/>
                <w:iCs/>
              </w:rPr>
              <w:t xml:space="preserve"> </w:t>
            </w:r>
            <m:oMath>
              <m:r>
                <m:t>Y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Hausdorff, then</w:t>
            </w:r>
            <w:r>
              <w:rPr>
                <w:i/>
                <w:iCs/>
              </w:rPr>
              <w:t xml:space="preserve"> </w:t>
            </w:r>
            <m:oMath>
              <m:r>
                <m:t>f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a homeomorphism.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You can cite this as a black 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W. Rudin,</w:t>
            </w:r>
            <w:r>
              <w:t xml:space="preserve"> </w:t>
            </w:r>
            <w:r>
              <w:rPr>
                <w:i/>
                <w:iCs/>
              </w:rPr>
              <w:t xml:space="preserve">Principles of Mathematical Analysis</w:t>
            </w:r>
            <w:r>
              <w:t xml:space="preserve">, 3rd ed., McGraw-Hill, 1976.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4.17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Rudin gives the metric-space version, but the proof is identical. It is a classic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S. Willard,</w:t>
            </w:r>
            <w:r>
              <w:t xml:space="preserve"> </w:t>
            </w:r>
            <w:r>
              <w:rPr>
                <w:i/>
                <w:iCs/>
              </w:rPr>
              <w:t xml:space="preserve">General Topology</w:t>
            </w:r>
            <w:r>
              <w:t xml:space="preserve">, Addison-Wesley, 1970.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17.14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Willard phrases it as: a continuous bijection from a compact space onto a Hausdorff space is closed, hence a homeomorphism.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0eae56962dcb382aafe23d9c326ad88d1eb64e"/>
    <w:p>
      <w:pPr>
        <w:pStyle w:val="3"/>
      </w:pPr>
      <w:r>
        <w:t xml:space="preserve">5. Transporting the Smooth Structure (Making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Smooth Manifold)</w:t>
      </w:r>
    </w:p>
    <w:p>
      <w:pPr>
        <w:pStyle w:val="FirstParagraph"/>
      </w:pPr>
      <w:r>
        <w:t xml:space="preserve">Once you have the homeomorphism</w:t>
      </w:r>
      <w:r>
        <w:t xml:space="preserve"> </w:t>
      </w:r>
      <m:oMath>
        <m:r>
          <m:t>X</m:t>
        </m:r>
        <m:r>
          <m:rPr>
            <m:sty m:val="p"/>
          </m:rPr>
          <m:t>≅</m:t>
        </m:r>
        <m:r>
          <m:t>M</m:t>
        </m:r>
      </m:oMath>
      <w:r>
        <w:t xml:space="preserve">, you need to argue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inherits a smooth atlas. This is a standard push-forward of structure.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2376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simplifies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J. M. Lee,</w:t>
            </w:r>
            <w:r>
              <w:t xml:space="preserve"> </w:t>
            </w:r>
            <w:r>
              <w:rPr>
                <w:i/>
                <w:iCs/>
              </w:rPr>
              <w:t xml:space="preserve">Introduction to Smooth Manifolds</w:t>
            </w:r>
            <w:r>
              <w:t xml:space="preserve">, 2nd ed., Springer, 2013.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Proposition 2.5</w:t>
            </w:r>
            <w:r>
              <w:t xml:space="preserve"> </w:t>
            </w:r>
            <w:r>
              <w:t xml:space="preserve">(smooth structure generated by an atlas) and</w:t>
            </w:r>
            <w:r>
              <w:t xml:space="preserve"> </w:t>
            </w:r>
            <w:r>
              <w:rPr>
                <w:b/>
                <w:bCs/>
              </w:rPr>
              <w:t xml:space="preserve">Exercise 2.6</w:t>
            </w:r>
            <w:r>
              <w:t xml:space="preserve"> </w:t>
            </w:r>
            <w:r>
              <w:t xml:space="preserve">(push-forward of smooth structure by a homeomorphism).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explicitly proves that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  <w:r>
              <w:t xml:space="preserve"> </w:t>
            </w:r>
            <w:r>
              <w:t xml:space="preserve">is a homeomorphism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smooth manifold, then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admits a unique smooth structure making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diffeomorphism. This replaces your last sentence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Connes,</w:t>
            </w:r>
            <w:r>
              <w:t xml:space="preserve"> </w:t>
            </w:r>
            <w:r>
              <w:rPr>
                <w:i/>
                <w:iCs/>
              </w:rPr>
              <w:t xml:space="preserve">Noncommutative Geometry</w:t>
            </w:r>
            <w:r>
              <w:t xml:space="preserve">, Academic Press, 1994.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11.2</w:t>
            </w:r>
            <w:r>
              <w:t xml:space="preserve"> </w:t>
            </w:r>
            <w:r>
              <w:t xml:space="preserve">(reconstruction theorem) and</w:t>
            </w:r>
            <w:r>
              <w:t xml:space="preserve"> </w:t>
            </w:r>
            <w:r>
              <w:rPr>
                <w:b/>
                <w:bCs/>
              </w:rPr>
              <w:t xml:space="preserve">§11.1–11.3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Connes’ reconstruction theorem is the overarching result: from a commutative spectral triple (or from the data</w:t>
            </w:r>
            <w:r>
              <w:t xml:space="preserve"> </w:t>
            </w:r>
            <w:r>
              <w:t xml:space="preserve">$(\A^\infty, \A, \{\cdot,\cdot\})$</w:t>
            </w:r>
            <w:r>
              <w:t xml:space="preserve"> </w:t>
            </w:r>
            <w:r>
              <w:t xml:space="preserve">satisfying certain axioms), one reconstructs a unique smooth compact manifold. Your proposition is essentially a special case of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Connes,</w:t>
            </w:r>
            <w:r>
              <w:t xml:space="preserve"> </w:t>
            </w:r>
            <w:r>
              <w:t xml:space="preserve">“</w:t>
            </w:r>
            <w:r>
              <w:t xml:space="preserve">On the spectral characterization of manifolds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J. Noncommut. Geom.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(2013), 1–82.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Theorem 1.2</w:t>
            </w:r>
            <w:r>
              <w:t xml:space="preserve"> </w:t>
            </w:r>
            <w:r>
              <w:t xml:space="preserve">(reconstruction of smooth manifolds from spectral triples).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paper proves that the first five axioms of a spectral triple suffice to characterize smooth compact manifolds. Your hypotheses (</w:t>
            </w:r>
            <w:r>
              <w:t xml:space="preserve">$\A^\infty \cong C^\infty(M)$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compact) are stronger, so the result follows as a corollary.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b8f99a96ef1a32f2bbda6e4de98568a00f82a2"/>
    <w:p>
      <w:pPr>
        <w:pStyle w:val="3"/>
      </w:pPr>
      <w:r>
        <w:t xml:space="preserve">6. The Poisson Bracket Context (Physics / Deformation Quantization)</w:t>
      </w:r>
    </w:p>
    <w:p>
      <w:pPr>
        <w:pStyle w:val="FirstParagraph"/>
      </w:pPr>
      <w:r>
        <w:t xml:space="preserve">Since your proposition mentions a Poisson structure, you may want to cite the physical origin of such smooth subalgebras.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2376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simplifies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 A. Rieffel,</w:t>
            </w:r>
            <w:r>
              <w:t xml:space="preserve"> </w:t>
            </w:r>
            <w:r>
              <w:t xml:space="preserve">“</w:t>
            </w:r>
            <w:r>
              <w:t xml:space="preserve">Deformation Quantization for Actions of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Mem. Amer. Math. Soc.</w:t>
            </w:r>
            <w:r>
              <w:t xml:space="preserve"> </w:t>
            </w:r>
            <w:r>
              <w:rPr>
                <w:b/>
                <w:bCs/>
              </w:rPr>
              <w:t xml:space="preserve">106</w:t>
            </w:r>
            <w:r>
              <w:t xml:space="preserve"> </w:t>
            </w:r>
            <w:r>
              <w:t xml:space="preserve">(1993), no. 506.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§1–2</w:t>
            </w:r>
            <w:r>
              <w:t xml:space="preserve"> </w:t>
            </w:r>
            <w:r>
              <w:t xml:space="preserve">(strict deformation quantization).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Rieffel defines strict deformation quantization of Poisson manifolds via C*-algebras. The smooth subalgebra</w:t>
            </w:r>
            <w:r>
              <w:t xml:space="preserve"> </w:t>
            </w:r>
            <w:r>
              <w:t xml:space="preserve">$\A^\infty$</w:t>
            </w:r>
            <w:r>
              <w:t xml:space="preserve"> </w:t>
            </w:r>
            <w:r>
              <w:t xml:space="preserve">is precisely the domain where the Poisson bracket lives before quantization.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N. P. Landsman,</w:t>
            </w:r>
            <w:r>
              <w:t xml:space="preserve"> </w:t>
            </w:r>
            <w:r>
              <w:rPr>
                <w:i/>
                <w:iCs/>
              </w:rPr>
              <w:t xml:space="preserve">Mathematical Topics between Classical and Quantum Mechanics</w:t>
            </w:r>
            <w:r>
              <w:t xml:space="preserve">, Springer, 1998.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§II.1–II.3</w:t>
            </w:r>
            <w:r>
              <w:t xml:space="preserve"> </w:t>
            </w:r>
            <w:r>
              <w:t xml:space="preserve">(Poisson algebras and their relation to C*-algebras).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Landsman discusses how smooth Poisson subalgebras of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t xml:space="preserve"> </w:t>
            </w:r>
            <w:r>
              <w:t xml:space="preserve">relate to the spectrum and strict quantization. This gives physical context to your</w:t>
            </w:r>
            <w:r>
              <w:t xml:space="preserve"> </w:t>
            </w:r>
            <w:r>
              <w:t xml:space="preserve">$\A^\infty$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 Bordemann, E. Meinrenken &amp; M. Schlichenmaier,</w:t>
            </w:r>
            <w:r>
              <w:t xml:space="preserve"> </w:t>
            </w:r>
            <w:r>
              <w:t xml:space="preserve">“</w:t>
            </w:r>
            <w:r>
              <w:t xml:space="preserve">Toeplitz quantization of Kähler manifolds and</w:t>
            </w:r>
            <w:r>
              <w:t xml:space="preserve"> </w:t>
            </w:r>
            <m:oMath>
              <m:r>
                <m:t>g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limits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Comm. Math. Phys.</w:t>
            </w:r>
            <w:r>
              <w:t xml:space="preserve"> </w:t>
            </w:r>
            <w:r>
              <w:rPr>
                <w:b/>
                <w:bCs/>
              </w:rPr>
              <w:t xml:space="preserve">165</w:t>
            </w:r>
            <w:r>
              <w:t xml:space="preserve"> </w:t>
            </w:r>
            <w:r>
              <w:t xml:space="preserve">(1994), 281–296.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§2</w:t>
            </w:r>
            <w:r>
              <w:t xml:space="preserve"> </w:t>
            </w:r>
            <w:r>
              <w:t xml:space="preserve">(Berezin–Toeplitz quantization and smooth subalgebras).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work with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∞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t xml:space="preserve"> </w:t>
            </w:r>
            <w:r>
              <w:t xml:space="preserve">as a dense subalgebra of</w:t>
            </w:r>
            <w: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t xml:space="preserve"> </w:t>
            </w:r>
            <w:r>
              <w:t xml:space="preserve">in the context of geometric quantization, showing that the smooth structure is preserved in the classical limit.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08d474f250b4a4cbbd3809e381c493a0d27957"/>
    <w:p>
      <w:pPr>
        <w:pStyle w:val="3"/>
      </w:pPr>
      <w:r>
        <w:t xml:space="preserve">Suggested Simplified Proof Sketch Using These Citations</w:t>
      </w:r>
    </w:p>
    <w:p>
      <w:pPr>
        <w:pStyle w:val="FirstParagraph"/>
      </w:pPr>
      <w:r>
        <w:t xml:space="preserve">You could rewrite the proof much more concisely as follows:</w:t>
      </w:r>
    </w:p>
    <w:p>
      <w:pPr>
        <w:pStyle w:val="aa"/>
      </w:pPr>
      <w:r>
        <w:rPr>
          <w:b/>
          <w:bCs/>
        </w:rPr>
        <w:t xml:space="preserve">Proof.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compact,</w:t>
      </w:r>
      <w:r>
        <w:t xml:space="preserve"> </w:t>
      </w:r>
      <m:oMath>
        <m:sSubSup>
          <m:e>
            <m:r>
              <m:t>C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∞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is unital, hence</w:t>
      </w:r>
      <w:r>
        <w:t xml:space="preserve"> </w:t>
      </w:r>
      <w:r>
        <w:t xml:space="preserve">$\A^\infty$</w:t>
      </w:r>
      <w:r>
        <w:t xml:space="preserve"> </w:t>
      </w:r>
      <w:r>
        <w:t xml:space="preserve">is a unital dense subalgebra of</w:t>
      </w:r>
      <w:r>
        <w:t xml:space="preserve"> </w:t>
      </w:r>
      <w:r>
        <w:t xml:space="preserve">$\A$</w:t>
      </w:r>
      <w:r>
        <w:t xml:space="preserve">. By the Gelfand–Naimark theorem (Murphy, Thm. 2.1.10; Dixmier, §2.3),</w:t>
      </w:r>
      <w:r>
        <w:t xml:space="preserve"> </w:t>
      </w:r>
      <w:r>
        <w:t xml:space="preserve">$X = \sigma(\A)$</w:t>
      </w:r>
      <w:r>
        <w:t xml:space="preserve"> </w:t>
      </w:r>
      <w:r>
        <w:t xml:space="preserve">is a compact Hausdorff space and</w:t>
      </w:r>
      <w:r>
        <w:t xml:space="preserve"> </w:t>
      </w:r>
      <w:r>
        <w:t xml:space="preserve">$\A \cong C(X)$</w:t>
      </w:r>
      <w:r>
        <w:t xml:space="preserve">. The restriction map</w:t>
      </w:r>
      <w:r>
        <w:t xml:space="preserve"> </w:t>
      </w:r>
      <w:r>
        <w:t xml:space="preserve">$\mathrm{ev}: X \to \sigma(\A^\infty)$</w:t>
      </w:r>
      <w:r>
        <w:t xml:space="preserve">,</w:t>
      </w:r>
      <w:r>
        <w:t xml:space="preserve"> </w:t>
      </w:r>
      <w:r>
        <w:t xml:space="preserve">$x \mapsto x|_{\A^\infty}$</w:t>
      </w:r>
      <w:r>
        <w:t xml:space="preserve">, is well-defined and continuous because it is dual to the inclusion</w:t>
      </w:r>
      <w:r>
        <w:t xml:space="preserve"> </w:t>
      </w:r>
      <w:r>
        <w:t xml:space="preserve">$\A^\infty \hookrightarrow \A$</w:t>
      </w:r>
      <w:r>
        <w:t xml:space="preserve">.</w:t>
      </w:r>
    </w:p>
    <w:p>
      <w:pPr>
        <w:pStyle w:val="aa"/>
      </w:pPr>
      <w:r>
        <w:rPr>
          <w:i/>
          <w:iCs/>
        </w:rPr>
        <w:t xml:space="preserve">Injectivity:</w:t>
      </w:r>
      <w:r>
        <w:t xml:space="preserve"> </w:t>
      </w:r>
      <w:r>
        <w:t xml:space="preserve">Characters agreeing on the dense subalgebra</w:t>
      </w:r>
      <w:r>
        <w:t xml:space="preserve"> </w:t>
      </w:r>
      <w:r>
        <w:t xml:space="preserve">$\A^\infty$</w:t>
      </w:r>
      <w:r>
        <w:t xml:space="preserve"> </w:t>
      </w:r>
      <w:r>
        <w:t xml:space="preserve">agree on all of</w:t>
      </w:r>
      <w:r>
        <w:t xml:space="preserve"> </w:t>
      </w:r>
      <w:r>
        <w:t xml:space="preserve">$\A$</w:t>
      </w:r>
      <w:r>
        <w:t xml:space="preserve"> </w:t>
      </w:r>
      <w:r>
        <w:t xml:space="preserve">by norm continuity (Pedersen, §4.1).</w:t>
      </w:r>
    </w:p>
    <w:p>
      <w:pPr>
        <w:pStyle w:val="aa"/>
      </w:pPr>
      <w:r>
        <w:rPr>
          <w:i/>
          <w:iCs/>
        </w:rPr>
        <w:t xml:space="preserve">Surjectivity:</w:t>
      </w:r>
      <w:r>
        <w:t xml:space="preserve"> </w:t>
      </w:r>
      <w:r>
        <w:t xml:space="preserve">Since</w:t>
      </w:r>
      <w:r>
        <w:t xml:space="preserve"> </w:t>
      </w:r>
      <w:r>
        <w:t xml:space="preserve">$\A^\infty \cong C^\infty(M)$</w:t>
      </w:r>
      <w:r>
        <w:t xml:space="preserve"> </w:t>
      </w:r>
      <w:r>
        <w:t xml:space="preserve">is a dense Fréchet subalgebra stable under holomorphic functional calculus, it is spectral invariant. By Schweitzer (Thm. 1.2) or Gracia-Bondía–Várilly–Figueroa (Thm. 3.8), the restriction map</w:t>
      </w:r>
      <w:r>
        <w:t xml:space="preserve"> </w:t>
      </w:r>
      <w:r>
        <w:t xml:space="preserve">$\sigma(\A) \to \sigma(\A^\infty)$</w:t>
      </w:r>
      <w:r>
        <w:t xml:space="preserve"> </w:t>
      </w:r>
      <w:r>
        <w:t xml:space="preserve">is surjective; equivalently, every character of</w:t>
      </w:r>
      <w:r>
        <w:t xml:space="preserve"> </w:t>
      </w:r>
      <w:r>
        <w:t xml:space="preserve">$\A^\infty$</w:t>
      </w:r>
      <w:r>
        <w:t xml:space="preserve"> </w:t>
      </w:r>
      <w:r>
        <w:t xml:space="preserve">extends uniquely to</w:t>
      </w:r>
      <w:r>
        <w:t xml:space="preserve"> </w:t>
      </w:r>
      <w:r>
        <w:t xml:space="preserve">$\A$</w:t>
      </w:r>
      <w:r>
        <w:t xml:space="preserve"> </w:t>
      </w:r>
      <w:r>
        <w:t xml:space="preserve">(Rudin, Thm. 11.4). Thus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is bijective.</w:t>
      </w:r>
    </w:p>
    <w:p>
      <w:pPr>
        <w:pStyle w:val="aa"/>
      </w:pP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compact and</w:t>
      </w:r>
      <w:r>
        <w:t xml:space="preserve"> </w:t>
      </w:r>
      <w:r>
        <w:t xml:space="preserve">$\sigma(\A^\infty) \cong M$</w:t>
      </w:r>
      <w:r>
        <w:t xml:space="preserve"> </w:t>
      </w:r>
      <w:r>
        <w:t xml:space="preserve">is Hausdorff,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is a homeomorphism by the standard topological result (Munkres, Thm. 26.6). Composing with</w:t>
      </w:r>
      <w:r>
        <w:t xml:space="preserve"> </w:t>
      </w:r>
      <w:r>
        <w:t xml:space="preserve">$\sigma(\A^\infty) \cong M$</w:t>
      </w:r>
      <w:r>
        <w:t xml:space="preserve"> </w:t>
      </w:r>
      <w:r>
        <w:t xml:space="preserve">yields</w:t>
      </w:r>
      <w:r>
        <w:t xml:space="preserve"> </w:t>
      </w:r>
      <m:oMath>
        <m:r>
          <m:t>X</m:t>
        </m:r>
        <m:r>
          <m:rPr>
            <m:sty m:val="p"/>
          </m:rPr>
          <m:t>≅</m:t>
        </m:r>
        <m:r>
          <m:t>M</m:t>
        </m:r>
      </m:oMath>
      <w:r>
        <w:t xml:space="preserve"> </w:t>
      </w:r>
      <w:r>
        <w:t xml:space="preserve">as topological spaces.</w:t>
      </w:r>
    </w:p>
    <w:p>
      <w:pPr>
        <w:pStyle w:val="aa"/>
      </w:pPr>
      <w:r>
        <w:t xml:space="preserve">Finally, transporting the smooth atlas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via this homeomorphism equips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smooth structure making it a smooth manifold diffeomorphic 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(Lee, Prop. 2.5).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FirstParagraph"/>
      </w:pPr>
      <w:r>
        <w:t xml:space="preserve">This reduces the proof from a multi-paragraph argument to a few lines supported by authoritative citations.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2026-07-26T12:38:50Z</dcterms:created>
  <dcterms:modified xsi:type="dcterms:W3CDTF">2026-07-26T12:38:50Z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ivtmemcu0rlmvujji0-19f9e6b9-57f2-89a1-8000-099a876b9de5-20260726123850","ReservedCode1":"","ContentPropagator":"001191110108MACG2KBH8F20000","PropagateID":"d9ivtmemcu0rlmvujji0-19f9e6b9-57f2-89a1-8000-099a876b9de5-20260726123850","ReservedCode2":""}</vt:lpwstr>
  </property>
</Properties>
</file>