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proofErr w:type="spellStart"/>
      <w:r w:rsidRPr="006833EC">
        <w:rPr>
          <w:rFonts w:ascii="Arial" w:hAnsi="Arial" w:cs="Arial"/>
          <w:b/>
          <w:bCs/>
          <w:sz w:val="28"/>
          <w:szCs w:val="28"/>
        </w:rPr>
        <w:t>REshaping</w:t>
      </w:r>
      <w:proofErr w:type="spellEnd"/>
      <w:r w:rsidRPr="006833EC">
        <w:rPr>
          <w:rFonts w:ascii="Arial" w:hAnsi="Arial" w:cs="Arial"/>
          <w:b/>
          <w:bCs/>
          <w:sz w:val="28"/>
          <w:szCs w:val="28"/>
        </w:rPr>
        <w:t xml:space="preserve">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w:t>
      </w:r>
      <w:proofErr w:type="gramStart"/>
      <w:r>
        <w:rPr>
          <w:rFonts w:ascii="Arial" w:hAnsi="Arial" w:cs="Arial"/>
        </w:rPr>
        <w:t>actually allowed</w:t>
      </w:r>
      <w:proofErr w:type="gramEnd"/>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2021) and professional services staff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371D48E9"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p>
    <w:p w14:paraId="35BEC150" w14:textId="0DAD541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p>
    <w:p w14:paraId="720AED61" w14:textId="70C45954"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proofErr w:type="spellStart"/>
      <w:r w:rsidRPr="001523CB">
        <w:rPr>
          <w:rFonts w:ascii="Arial" w:hAnsi="Arial" w:cs="Arial"/>
          <w:b/>
          <w:bCs/>
        </w:rPr>
        <w:t>TakeHome</w:t>
      </w:r>
      <w:proofErr w:type="spellEnd"/>
      <w:r w:rsidRPr="001523CB">
        <w:rPr>
          <w:rFonts w:ascii="Arial" w:hAnsi="Arial" w:cs="Arial"/>
          <w:b/>
          <w:bCs/>
        </w:rPr>
        <w:t xml:space="preserv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 xml:space="preserve">Bengtsson (2019) is a useful survey of </w:t>
      </w:r>
      <w:proofErr w:type="gramStart"/>
      <w:r w:rsidRPr="001523CB">
        <w:rPr>
          <w:rFonts w:ascii="Arial" w:hAnsi="Arial" w:cs="Arial"/>
        </w:rPr>
        <w:t>these</w:t>
      </w:r>
      <w:r w:rsidR="005821A2">
        <w:rPr>
          <w:rFonts w:ascii="Arial" w:hAnsi="Arial" w:cs="Arial"/>
        </w:rPr>
        <w:t>, and</w:t>
      </w:r>
      <w:proofErr w:type="gramEnd"/>
      <w:r w:rsidR="005821A2">
        <w:rPr>
          <w:rFonts w:ascii="Arial" w:hAnsi="Arial" w:cs="Arial"/>
        </w:rPr>
        <w:t xml:space="preserve">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 xml:space="preserve">Use a Virtual Learning Environment to deliver an examination </w:t>
      </w:r>
      <w:proofErr w:type="gramStart"/>
      <w:r w:rsidRPr="001523CB">
        <w:rPr>
          <w:rFonts w:ascii="Arial" w:hAnsi="Arial" w:cs="Arial"/>
        </w:rPr>
        <w:t>paper,</w:t>
      </w:r>
      <w:r w:rsidR="005821A2">
        <w:rPr>
          <w:rFonts w:ascii="Arial" w:hAnsi="Arial" w:cs="Arial"/>
        </w:rPr>
        <w:t xml:space="preserve"> </w:t>
      </w:r>
      <w:r w:rsidRPr="001523CB">
        <w:rPr>
          <w:rFonts w:ascii="Arial" w:hAnsi="Arial" w:cs="Arial"/>
        </w:rPr>
        <w:t>and</w:t>
      </w:r>
      <w:proofErr w:type="gramEnd"/>
      <w:r w:rsidRPr="001523CB">
        <w:rPr>
          <w:rFonts w:ascii="Arial" w:hAnsi="Arial" w:cs="Arial"/>
        </w:rPr>
        <w:t xml:space="preserve">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 xml:space="preserve">Bath used </w:t>
      </w:r>
      <w:proofErr w:type="spellStart"/>
      <w:r w:rsidRPr="001523CB">
        <w:rPr>
          <w:rFonts w:ascii="Arial" w:hAnsi="Arial" w:cs="Arial"/>
        </w:rPr>
        <w:t>Inspera</w:t>
      </w:r>
      <w:proofErr w:type="spellEnd"/>
      <w:r w:rsidRPr="001523CB">
        <w:rPr>
          <w:rFonts w:ascii="Arial" w:hAnsi="Arial" w:cs="Arial"/>
        </w:rPr>
        <w:t>,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lastRenderedPageBreak/>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w:t>
      </w:r>
      <w:proofErr w:type="spellStart"/>
      <w:r w:rsidRPr="001523CB">
        <w:rPr>
          <w:rFonts w:ascii="Arial" w:hAnsi="Arial" w:cs="Arial"/>
        </w:rPr>
        <w:t>Ansley.J</w:t>
      </w:r>
      <w:proofErr w:type="spellEnd"/>
      <w:r w:rsidRPr="001523CB">
        <w:rPr>
          <w:rFonts w:ascii="Arial" w:hAnsi="Arial" w:cs="Arial"/>
        </w:rPr>
        <w:t>.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proofErr w:type="spellStart"/>
      <w:r w:rsidRPr="001778FD">
        <w:rPr>
          <w:rFonts w:ascii="Arial" w:hAnsi="Arial" w:cs="Arial"/>
          <w:b/>
          <w:bCs/>
        </w:rPr>
        <w:t>TakeHome</w:t>
      </w:r>
      <w:proofErr w:type="spellEnd"/>
      <w:r w:rsidRPr="001778FD">
        <w:rPr>
          <w:rFonts w:ascii="Arial" w:hAnsi="Arial" w:cs="Arial"/>
          <w:b/>
          <w:bCs/>
        </w:rPr>
        <w:t>-OU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527DD3C6"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thee examination, rather than pre-planned (as cheating it </w:t>
      </w:r>
      <w:r w:rsidR="002E26AE">
        <w:rPr>
          <w:rFonts w:ascii="Arial" w:hAnsi="Arial" w:cs="Arial"/>
          <w:b/>
          <w:bCs/>
        </w:rPr>
        <w:t>Trad-C</w:t>
      </w:r>
      <w:r w:rsidR="002E26AE">
        <w:rPr>
          <w:rFonts w:ascii="Arial" w:hAnsi="Arial" w:cs="Arial"/>
        </w:rPr>
        <w:t xml:space="preserve"> examinations has to be).</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w:t>
      </w:r>
      <w:r w:rsidR="00F535E6">
        <w:rPr>
          <w:rFonts w:ascii="Arial" w:hAnsi="Arial" w:cs="Arial"/>
        </w:rPr>
        <w:lastRenderedPageBreak/>
        <w:t xml:space="preserve">the move to a fixed three-hour (2+1) period meant that the examination in January 2022 went </w:t>
      </w:r>
      <w:proofErr w:type="gramStart"/>
      <w:r w:rsidR="00F535E6">
        <w:rPr>
          <w:rFonts w:ascii="Arial" w:hAnsi="Arial" w:cs="Arial"/>
        </w:rPr>
        <w:t>pretty well</w:t>
      </w:r>
      <w:proofErr w:type="gramEnd"/>
      <w:r w:rsidR="00F535E6">
        <w:rPr>
          <w:rFonts w:ascii="Arial" w:hAnsi="Arial" w:cs="Arial"/>
        </w:rPr>
        <w:t xml:space="preserve">.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149A16C2" w14:textId="77777777" w:rsidR="001778FD" w:rsidRPr="00CF5569" w:rsidRDefault="001778FD" w:rsidP="001778FD">
      <w:pPr>
        <w:spacing w:before="120" w:after="120" w:line="360" w:lineRule="auto"/>
        <w:rPr>
          <w:rFonts w:ascii="Arial" w:hAnsi="Arial" w:cs="Arial"/>
        </w:rPr>
      </w:pPr>
    </w:p>
    <w:p w14:paraId="182B6FCB" w14:textId="7842E5FF" w:rsidR="002228B5" w:rsidRPr="00CF5569" w:rsidRDefault="002228B5" w:rsidP="00AC098D">
      <w:pPr>
        <w:spacing w:before="120" w:after="120" w:line="360" w:lineRule="auto"/>
        <w:rPr>
          <w:rFonts w:ascii="Arial" w:hAnsi="Arial" w:cs="Arial"/>
        </w:rPr>
      </w:pPr>
    </w:p>
    <w:p w14:paraId="397E6A50" w14:textId="77777777" w:rsidR="002228B5" w:rsidRPr="00CF5569" w:rsidRDefault="002228B5" w:rsidP="00AC098D">
      <w:pPr>
        <w:spacing w:before="120" w:after="120" w:line="360" w:lineRule="auto"/>
        <w:rPr>
          <w:rFonts w:ascii="Arial" w:hAnsi="Arial" w:cs="Arial"/>
        </w:rPr>
      </w:pP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610B54FD"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 xml:space="preserve">University of Bath is far too small a sample. Behaviours at Bath certainly seem to be in line with much of the rest of the UK </w:t>
      </w:r>
      <w:r w:rsidR="00F33D34">
        <w:rPr>
          <w:rFonts w:ascii="Arial" w:hAnsi="Arial" w:cs="Arial"/>
        </w:rPr>
        <w:t xml:space="preserve">HE </w:t>
      </w:r>
      <w:proofErr w:type="gramStart"/>
      <w:r>
        <w:rPr>
          <w:rFonts w:ascii="Arial" w:hAnsi="Arial" w:cs="Arial"/>
        </w:rPr>
        <w:t>sector</w:t>
      </w:r>
      <w:proofErr w:type="gramEnd"/>
      <w:r w:rsidR="002457CD">
        <w:rPr>
          <w:rFonts w:ascii="Arial" w:hAnsi="Arial" w:cs="Arial"/>
        </w:rPr>
        <w:t>, which is reinforced by wider outcomes of five major empirical studies conducted by the second author and colleagues over the past two years (</w:t>
      </w:r>
      <w:proofErr w:type="spellStart"/>
      <w:r w:rsidR="002457CD">
        <w:rPr>
          <w:rFonts w:ascii="Arial" w:hAnsi="Arial" w:cs="Arial"/>
        </w:rPr>
        <w:t>Watermeyer</w:t>
      </w:r>
      <w:proofErr w:type="spellEnd"/>
      <w:r w:rsidR="002457CD">
        <w:rPr>
          <w:rFonts w:ascii="Arial" w:hAnsi="Arial" w:cs="Arial"/>
        </w:rPr>
        <w:t xml:space="preserve"> et al., 2021; </w:t>
      </w:r>
      <w:proofErr w:type="spellStart"/>
      <w:r w:rsidR="002457CD">
        <w:rPr>
          <w:rFonts w:ascii="Arial" w:hAnsi="Arial" w:cs="Arial"/>
        </w:rPr>
        <w:t>Watermeyer</w:t>
      </w:r>
      <w:proofErr w:type="spellEnd"/>
      <w:r w:rsidR="002457CD">
        <w:rPr>
          <w:rFonts w:ascii="Arial" w:hAnsi="Arial" w:cs="Arial"/>
        </w:rPr>
        <w:t xml:space="preserve"> et al., 2021; </w:t>
      </w:r>
      <w:proofErr w:type="spellStart"/>
      <w:r w:rsidR="002457CD">
        <w:rPr>
          <w:rFonts w:ascii="Arial" w:hAnsi="Arial" w:cs="Arial"/>
        </w:rPr>
        <w:t>Watermeyer</w:t>
      </w:r>
      <w:proofErr w:type="spellEnd"/>
      <w:r w:rsidR="002457CD">
        <w:rPr>
          <w:rFonts w:ascii="Arial" w:hAnsi="Arial" w:cs="Arial"/>
        </w:rPr>
        <w:t xml:space="preserve"> et al., 2021; </w:t>
      </w:r>
      <w:proofErr w:type="spellStart"/>
      <w:r w:rsidR="002457CD">
        <w:rPr>
          <w:rFonts w:ascii="Arial" w:hAnsi="Arial" w:cs="Arial"/>
        </w:rPr>
        <w:t>Watermeyer</w:t>
      </w:r>
      <w:proofErr w:type="spellEnd"/>
      <w:r w:rsidR="002457CD">
        <w:rPr>
          <w:rFonts w:ascii="Arial" w:hAnsi="Arial" w:cs="Arial"/>
        </w:rPr>
        <w:t xml:space="preserve"> et al., 2022)</w:t>
      </w:r>
      <w:r>
        <w:rPr>
          <w:rFonts w:ascii="Arial" w:hAnsi="Arial" w:cs="Arial"/>
        </w:rPr>
        <w:t>. The first author</w:t>
      </w:r>
      <w:r w:rsidR="00F33D34">
        <w:rPr>
          <w:rFonts w:ascii="Arial" w:hAnsi="Arial" w:cs="Arial"/>
        </w:rPr>
        <w:t>’</w:t>
      </w:r>
      <w:r>
        <w:rPr>
          <w:rFonts w:ascii="Arial" w:hAnsi="Arial" w:cs="Arial"/>
        </w:rPr>
        <w:t>s discussion with colleagues from across of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6F28163D" w:rsidR="00CF5569" w:rsidRDefault="002B5C35" w:rsidP="000B4E83">
      <w:pPr>
        <w:spacing w:before="120" w:after="120" w:line="360" w:lineRule="auto"/>
        <w:jc w:val="both"/>
        <w:rPr>
          <w:rFonts w:ascii="Arial" w:hAnsi="Arial" w:cs="Arial"/>
          <w:b/>
          <w:bCs/>
          <w:sz w:val="26"/>
          <w:szCs w:val="26"/>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private sector</w:t>
      </w:r>
      <w:r w:rsidR="001B3F04">
        <w:rPr>
          <w:rFonts w:ascii="Arial" w:hAnsi="Arial" w:cs="Arial"/>
        </w:rPr>
        <w:t>.</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730AE2A8"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t>
      </w:r>
      <w:proofErr w:type="spellStart"/>
      <w:r w:rsidRPr="00DB6637">
        <w:rPr>
          <w:rFonts w:ascii="Arial" w:hAnsi="Arial" w:cs="Arial"/>
        </w:rPr>
        <w:t>Watermeyer</w:t>
      </w:r>
      <w:proofErr w:type="spellEnd"/>
      <w:r w:rsidRPr="00DB6637">
        <w:rPr>
          <w:rFonts w:ascii="Arial" w:hAnsi="Arial" w:cs="Arial"/>
        </w:rPr>
        <w:t xml:space="preserve">,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w:t>
      </w:r>
      <w:r w:rsidRPr="00DB6637">
        <w:rPr>
          <w:rFonts w:ascii="Arial" w:hAnsi="Arial" w:cs="Arial"/>
        </w:rPr>
        <w:lastRenderedPageBreak/>
        <w:t xml:space="preserve">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 xml:space="preserve">J. </w:t>
      </w:r>
      <w:proofErr w:type="spellStart"/>
      <w:r w:rsidRPr="00DB6637">
        <w:rPr>
          <w:rFonts w:ascii="Arial" w:hAnsi="Arial" w:cs="Arial"/>
        </w:rPr>
        <w:t>Bradnum</w:t>
      </w:r>
      <w:proofErr w:type="spellEnd"/>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t>Finnie-</w:t>
      </w:r>
      <w:proofErr w:type="spellStart"/>
      <w:r w:rsidRPr="00DB6637">
        <w:rPr>
          <w:rFonts w:ascii="Arial" w:hAnsi="Arial" w:cs="Arial"/>
        </w:rPr>
        <w:t>Ansley.J</w:t>
      </w:r>
      <w:proofErr w:type="spellEnd"/>
      <w:r w:rsidRPr="00DB6637">
        <w:rPr>
          <w:rFonts w:ascii="Arial" w:hAnsi="Arial" w:cs="Arial"/>
        </w:rPr>
        <w:t xml:space="preserve">.,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xml:space="preserve">. The Robots Are Coming: Exploring the Implications of </w:t>
      </w:r>
      <w:proofErr w:type="spellStart"/>
      <w:r w:rsidRPr="00DB6637">
        <w:rPr>
          <w:rFonts w:ascii="Arial" w:hAnsi="Arial" w:cs="Arial"/>
        </w:rPr>
        <w:t>OpenAI</w:t>
      </w:r>
      <w:proofErr w:type="spellEnd"/>
      <w:r w:rsidRPr="00DB6637">
        <w:rPr>
          <w:rFonts w:ascii="Arial" w:hAnsi="Arial" w:cs="Arial"/>
        </w:rPr>
        <w:t xml:space="preserve">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261B814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proofErr w:type="spellStart"/>
      <w:r w:rsidR="001036D7" w:rsidRPr="00DB6637">
        <w:rPr>
          <w:rFonts w:ascii="Arial" w:hAnsi="Arial" w:cs="Arial"/>
        </w:rPr>
        <w:t>Uniwise</w:t>
      </w:r>
      <w:proofErr w:type="spellEnd"/>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 xml:space="preserve">A. Siegel, M. </w:t>
      </w:r>
      <w:proofErr w:type="spellStart"/>
      <w:r w:rsidRPr="002457CD">
        <w:rPr>
          <w:rFonts w:ascii="Arial" w:hAnsi="Arial" w:cs="Arial"/>
        </w:rPr>
        <w:t>Zarb</w:t>
      </w:r>
      <w:proofErr w:type="spellEnd"/>
      <w:r w:rsidRPr="002457CD">
        <w:rPr>
          <w:rFonts w:ascii="Arial" w:hAnsi="Arial" w:cs="Arial"/>
        </w:rPr>
        <w:t xml:space="preserve">, B. </w:t>
      </w:r>
      <w:proofErr w:type="spellStart"/>
      <w:r w:rsidRPr="002457CD">
        <w:rPr>
          <w:rFonts w:ascii="Arial" w:hAnsi="Arial" w:cs="Arial"/>
        </w:rPr>
        <w:t>Alshaigy</w:t>
      </w:r>
      <w:proofErr w:type="spellEnd"/>
      <w:r w:rsidRPr="002457CD">
        <w:rPr>
          <w:rFonts w:ascii="Arial" w:hAnsi="Arial" w:cs="Arial"/>
        </w:rPr>
        <w:t xml:space="preserve">, J. Blanchard, T. Crick, R. Glassey, J. R. Holt, C. </w:t>
      </w:r>
      <w:proofErr w:type="spellStart"/>
      <w:r w:rsidRPr="002457CD">
        <w:rPr>
          <w:rFonts w:ascii="Arial" w:hAnsi="Arial" w:cs="Arial"/>
        </w:rPr>
        <w:t>Latulipe</w:t>
      </w:r>
      <w:proofErr w:type="spellEnd"/>
      <w:r w:rsidRPr="002457CD">
        <w:rPr>
          <w:rFonts w:ascii="Arial" w:hAnsi="Arial" w:cs="Arial"/>
        </w:rPr>
        <w:t xml:space="preserve">, C. </w:t>
      </w:r>
      <w:proofErr w:type="spellStart"/>
      <w:r w:rsidRPr="002457CD">
        <w:rPr>
          <w:rFonts w:ascii="Arial" w:hAnsi="Arial" w:cs="Arial"/>
        </w:rPr>
        <w:t>Riedesel</w:t>
      </w:r>
      <w:proofErr w:type="spellEnd"/>
      <w:r w:rsidRPr="002457CD">
        <w:rPr>
          <w:rFonts w:ascii="Arial" w:hAnsi="Arial" w:cs="Arial"/>
        </w:rPr>
        <w:t xml:space="preserve">, M. </w:t>
      </w:r>
      <w:proofErr w:type="spellStart"/>
      <w:r w:rsidRPr="002457CD">
        <w:rPr>
          <w:rFonts w:ascii="Arial" w:hAnsi="Arial" w:cs="Arial"/>
        </w:rPr>
        <w:t>Senapathi</w:t>
      </w:r>
      <w:proofErr w:type="spellEnd"/>
      <w:r w:rsidRPr="002457CD">
        <w:rPr>
          <w:rFonts w:ascii="Arial" w:hAnsi="Arial" w:cs="Arial"/>
        </w:rPr>
        <w:t>, Simon, and D. Williams</w:t>
      </w:r>
      <w:r w:rsidR="001036D7">
        <w:rPr>
          <w:rFonts w:ascii="Arial" w:hAnsi="Arial" w:cs="Arial"/>
        </w:rPr>
        <w:t xml:space="preserve"> (2021)</w:t>
      </w:r>
      <w:r w:rsidRPr="002457CD">
        <w:rPr>
          <w:rFonts w:ascii="Arial" w:hAnsi="Arial" w:cs="Arial"/>
        </w:rPr>
        <w:t>, “Teaching through a Global Pandemic: Educational Landscapes Before, During and After COVID-19,” in Proceedings of the 2021 Working Group Reports on Innovation and Technology in Computer Science Education (</w:t>
      </w:r>
      <w:proofErr w:type="spellStart"/>
      <w:r w:rsidRPr="002457CD">
        <w:rPr>
          <w:rFonts w:ascii="Arial" w:hAnsi="Arial" w:cs="Arial"/>
        </w:rPr>
        <w:t>ITiCSE</w:t>
      </w:r>
      <w:proofErr w:type="spellEnd"/>
      <w:r w:rsidRPr="002457CD">
        <w:rPr>
          <w:rFonts w:ascii="Arial" w:hAnsi="Arial" w:cs="Arial"/>
        </w:rPr>
        <w:t xml:space="preserve">- WGR’21), 2021, </w:t>
      </w:r>
      <w:hyperlink r:id="rId16"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2021, special issue on “Academic Development in Times of Crisis” </w:t>
      </w:r>
      <w:hyperlink r:id="rId17"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8"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w:t>
      </w:r>
      <w:proofErr w:type="spellStart"/>
      <w:r w:rsidRPr="00F33D34">
        <w:rPr>
          <w:rFonts w:ascii="Arial" w:hAnsi="Arial" w:cs="Arial"/>
        </w:rPr>
        <w:t>Pandemia</w:t>
      </w:r>
      <w:proofErr w:type="spellEnd"/>
      <w:r w:rsidRPr="00F33D34">
        <w:rPr>
          <w:rFonts w:ascii="Arial" w:hAnsi="Arial" w:cs="Arial"/>
        </w:rPr>
        <w:t xml:space="preserve">’: A reckoning of UK universities’ corporate response </w:t>
      </w:r>
      <w:r w:rsidRPr="00F33D34">
        <w:rPr>
          <w:rFonts w:ascii="Arial" w:hAnsi="Arial" w:cs="Arial"/>
        </w:rPr>
        <w:lastRenderedPageBreak/>
        <w:t xml:space="preserve">to COVID-19 and its academic fallout,” British Journal of Sociology of Education, vol. 42, no. 5-6, pp. 651–666, 2021, </w:t>
      </w:r>
      <w:hyperlink r:id="rId19"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C. Knight, T. Crick, </w:t>
      </w:r>
      <w:r>
        <w:rPr>
          <w:rFonts w:ascii="Arial" w:hAnsi="Arial" w:cs="Arial"/>
        </w:rPr>
        <w:t>&amp;</w:t>
      </w:r>
      <w:r w:rsidRPr="00F33D34">
        <w:rPr>
          <w:rFonts w:ascii="Arial" w:hAnsi="Arial" w:cs="Arial"/>
        </w:rPr>
        <w:t xml:space="preserve"> M. Borras </w:t>
      </w:r>
      <w:proofErr w:type="spellStart"/>
      <w:r w:rsidRPr="00F33D34">
        <w:rPr>
          <w:rFonts w:ascii="Arial" w:hAnsi="Arial" w:cs="Arial"/>
        </w:rPr>
        <w:t>Batalla</w:t>
      </w:r>
      <w:proofErr w:type="spellEnd"/>
      <w:r>
        <w:rPr>
          <w:rFonts w:ascii="Arial" w:hAnsi="Arial" w:cs="Arial"/>
        </w:rPr>
        <w:t>.</w:t>
      </w:r>
      <w:r w:rsidRPr="00F33D34">
        <w:rPr>
          <w:rFonts w:ascii="Arial" w:hAnsi="Arial" w:cs="Arial"/>
        </w:rPr>
        <w:t xml:space="preserve"> “‘Living at work’: COVID-19, remote-working and the </w:t>
      </w:r>
      <w:proofErr w:type="spellStart"/>
      <w:r w:rsidRPr="00F33D34">
        <w:rPr>
          <w:rFonts w:ascii="Arial" w:hAnsi="Arial" w:cs="Arial"/>
        </w:rPr>
        <w:t>spatio</w:t>
      </w:r>
      <w:proofErr w:type="spellEnd"/>
      <w:r w:rsidRPr="00F33D34">
        <w:rPr>
          <w:rFonts w:ascii="Arial" w:hAnsi="Arial" w:cs="Arial"/>
        </w:rPr>
        <w:t xml:space="preserve">-relational reorganisation of professional services in UK universities,” Higher Education, 2022, </w:t>
      </w:r>
      <w:hyperlink r:id="rId20"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1"/>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73B14" w14:textId="77777777" w:rsidR="007D5561" w:rsidRDefault="007D5561" w:rsidP="00581DFE">
      <w:pPr>
        <w:spacing w:after="0" w:line="240" w:lineRule="auto"/>
      </w:pPr>
      <w:r>
        <w:separator/>
      </w:r>
    </w:p>
  </w:endnote>
  <w:endnote w:type="continuationSeparator" w:id="0">
    <w:p w14:paraId="2DB8FD65" w14:textId="77777777" w:rsidR="007D5561" w:rsidRDefault="007D5561"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3FE4" w14:textId="77777777" w:rsidR="007D5561" w:rsidRDefault="007D5561" w:rsidP="00581DFE">
      <w:pPr>
        <w:spacing w:after="0" w:line="240" w:lineRule="auto"/>
      </w:pPr>
      <w:r>
        <w:separator/>
      </w:r>
    </w:p>
  </w:footnote>
  <w:footnote w:type="continuationSeparator" w:id="0">
    <w:p w14:paraId="2A4944E3" w14:textId="77777777" w:rsidR="007D5561" w:rsidRDefault="007D5561"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w:t>
      </w:r>
      <w:proofErr w:type="gramStart"/>
      <w:r>
        <w:t>pretty satisfactory</w:t>
      </w:r>
      <w:proofErr w:type="gramEnd"/>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B4E83"/>
    <w:rsid w:val="001036D7"/>
    <w:rsid w:val="001169C8"/>
    <w:rsid w:val="001523CB"/>
    <w:rsid w:val="001778FD"/>
    <w:rsid w:val="001B1C27"/>
    <w:rsid w:val="001B3F04"/>
    <w:rsid w:val="002228B5"/>
    <w:rsid w:val="002457CD"/>
    <w:rsid w:val="002B5C35"/>
    <w:rsid w:val="002C0013"/>
    <w:rsid w:val="002E26AE"/>
    <w:rsid w:val="003B08BD"/>
    <w:rsid w:val="003C2717"/>
    <w:rsid w:val="00402912"/>
    <w:rsid w:val="00417D53"/>
    <w:rsid w:val="00434A3A"/>
    <w:rsid w:val="00492960"/>
    <w:rsid w:val="004B25CB"/>
    <w:rsid w:val="00526197"/>
    <w:rsid w:val="005460FE"/>
    <w:rsid w:val="00581572"/>
    <w:rsid w:val="00581DFE"/>
    <w:rsid w:val="005821A2"/>
    <w:rsid w:val="005A2A69"/>
    <w:rsid w:val="005E4376"/>
    <w:rsid w:val="00645CF0"/>
    <w:rsid w:val="00646F78"/>
    <w:rsid w:val="006833EC"/>
    <w:rsid w:val="006F132C"/>
    <w:rsid w:val="0078125E"/>
    <w:rsid w:val="007D5561"/>
    <w:rsid w:val="0082543B"/>
    <w:rsid w:val="008D7686"/>
    <w:rsid w:val="00943076"/>
    <w:rsid w:val="009F753B"/>
    <w:rsid w:val="00A05B31"/>
    <w:rsid w:val="00A66960"/>
    <w:rsid w:val="00AA6C4C"/>
    <w:rsid w:val="00AC098D"/>
    <w:rsid w:val="00B211C8"/>
    <w:rsid w:val="00B80050"/>
    <w:rsid w:val="00BF241A"/>
    <w:rsid w:val="00C75356"/>
    <w:rsid w:val="00CA5C27"/>
    <w:rsid w:val="00CB5D19"/>
    <w:rsid w:val="00CF5569"/>
    <w:rsid w:val="00D31CB6"/>
    <w:rsid w:val="00DA2E82"/>
    <w:rsid w:val="00DA7C53"/>
    <w:rsid w:val="00DB6637"/>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07/s10734-020-00561-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080/1360144X.2021.1990064" TargetMode="External"/><Relationship Id="rId2" Type="http://schemas.openxmlformats.org/officeDocument/2006/relationships/numbering" Target="numbering.xml"/><Relationship Id="rId16" Type="http://schemas.openxmlformats.org/officeDocument/2006/relationships/hyperlink" Target="https://doi.org/10.1145/3502870.3506565" TargetMode="External"/><Relationship Id="rId20" Type="http://schemas.openxmlformats.org/officeDocument/2006/relationships/hyperlink" Target="https://doi.org/10.1007/s10734-022-00892-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80/01425692.2021.1937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113</TotalTime>
  <Pages>7</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13</cp:revision>
  <dcterms:created xsi:type="dcterms:W3CDTF">2022-08-01T11:03:00Z</dcterms:created>
  <dcterms:modified xsi:type="dcterms:W3CDTF">2022-08-01T20:53:00Z</dcterms:modified>
</cp:coreProperties>
</file>