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400"/>
      </w:pPr>
      <w:r>
        <w:rPr>
          <w:rFonts w:ascii="Times New Roman" w:cs="Times New Roman" w:eastAsia="Times New Roman" w:hAnsi="Times New Roman"/>
          <w:b/>
          <w:bCs/>
          <w:sz w:val="32"/>
          <w:szCs w:val="32"/>
        </w:rPr>
        <w:t xml:space="preserve">Source of Wealth Statement - Sir William Ashworth</w:t>
      </w:r>
    </w:p>
    <w:p>
      <w:pPr>
        <w:spacing w:after="200"/>
      </w:pPr>
      <w:r>
        <w:rPr>
          <w:rFonts w:ascii="Times New Roman" w:cs="Times New Roman" w:eastAsia="Times New Roman" w:hAnsi="Times New Roman"/>
          <w:sz w:val="24"/>
          <w:szCs w:val="24"/>
        </w:rPr>
        <w:t xml:space="preserve">I am providing this comprehensive statement regarding my source of wealth, which has accumulated over a 40-year career and through several significant financial events.</w:t>
      </w:r>
    </w:p>
    <w:p>
      <w:pPr>
        <w:spacing w:after="200"/>
      </w:pPr>
      <w:r>
        <w:rPr>
          <w:rFonts w:ascii="Times New Roman" w:cs="Times New Roman" w:eastAsia="Times New Roman" w:hAnsi="Times New Roman"/>
          <w:sz w:val="24"/>
          <w:szCs w:val="24"/>
        </w:rPr>
        <w:t xml:space="preserve">Employment History:
I spent 32 years at Goldman Sachs, joining as an Associate in 1985 and eventually becoming a Managing Director in the Investment Banking Division. I retired from Goldman Sachs in December 2017. During my career, my compensation grew substantially - in my final years as MD, my total annual compensation including bonus was approximately £1.2 million. Over my career at Goldman, I estimate I earned in excess of £15 million in total compensation.</w:t>
      </w:r>
    </w:p>
    <w:p>
      <w:pPr>
        <w:spacing w:after="200"/>
      </w:pPr>
      <w:r>
        <w:rPr>
          <w:rFonts w:ascii="Times New Roman" w:cs="Times New Roman" w:eastAsia="Times New Roman" w:hAnsi="Times New Roman"/>
          <w:sz w:val="24"/>
          <w:szCs w:val="24"/>
        </w:rPr>
        <w:t xml:space="preserve">Business Sale:
In 2019, following my retirement from Goldman, I co-founded a fintech advisory firm, Ashworth Capital Partners LLP, with two former colleagues. I held a 40% stake in the business. In September 2022, we sold the firm to a larger wealth management company for a total consideration of £8 million. My share of the proceeds was £3.2 million.</w:t>
      </w:r>
    </w:p>
    <w:p>
      <w:pPr>
        <w:spacing w:after="200"/>
      </w:pPr>
      <w:r>
        <w:rPr>
          <w:rFonts w:ascii="Times New Roman" w:cs="Times New Roman" w:eastAsia="Times New Roman" w:hAnsi="Times New Roman"/>
          <w:sz w:val="24"/>
          <w:szCs w:val="24"/>
        </w:rPr>
        <w:t xml:space="preserve">Inheritance:
In July 2020, my father, the late Lord Ashworth, passed away. I inherited approximately £2.1 million from his estate, which consisted primarily of investment portfolios and the proceeds from the sale of the family's country estate in Wiltshire. My father's wealth originated from our family's historical landholdings and his own successful career as a QC.</w:t>
      </w:r>
    </w:p>
    <w:p>
      <w:pPr>
        <w:spacing w:after="200"/>
      </w:pPr>
      <w:r>
        <w:rPr>
          <w:rFonts w:ascii="Times New Roman" w:cs="Times New Roman" w:eastAsia="Times New Roman" w:hAnsi="Times New Roman"/>
          <w:sz w:val="24"/>
          <w:szCs w:val="24"/>
        </w:rPr>
        <w:t xml:space="preserve">Property Portfolio:
Over the years, I accumulated a portfolio of three properties which I sold between 2021 and 2023:
- Our former family home in Kensington, sold in March 2021 for £4.8 million (purchased in 1998 for £1.1 million)
- A holiday home in the Cotswolds, sold in August 2022 for £1.6 million (purchased in 2005 for £650,000)
- An apartment in Monaco, sold in January 2023 for €2.2 million (approximately £1.9 million)</w:t>
      </w:r>
    </w:p>
    <w:p>
      <w:pPr>
        <w:spacing w:after="200"/>
      </w:pPr>
      <w:r>
        <w:rPr>
          <w:rFonts w:ascii="Times New Roman" w:cs="Times New Roman" w:eastAsia="Times New Roman" w:hAnsi="Times New Roman"/>
          <w:sz w:val="24"/>
          <w:szCs w:val="24"/>
        </w:rPr>
        <w:t xml:space="preserve">In total, my current wealth of approximately £18 million derives from these accumulated sources.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2026-01-14T03:40:49.898Z</dcterms:created>
  <dcterms:modified xsi:type="dcterms:W3CDTF">2026-01-14T03:40:49.898Z</dcterms:modified>
</cp:coreProperties>
</file>

<file path=docProps/custom.xml><?xml version="1.0" encoding="utf-8"?>
<Properties xmlns="http://schemas.openxmlformats.org/officeDocument/2006/custom-properties" xmlns:vt="http://schemas.openxmlformats.org/officeDocument/2006/docPropsVTypes"/>
</file>