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400"/>
              <w:left w:type="dxa" w:w="400"/>
              <w:bottom w:type="dxa" w:w="300"/>
              <w:right w:type="dxa" w:w="400"/>
            </w:tcMar>
          </w:tcPr>
          <w:p>
            <w:pPr>
              <w:spacing w:after="60"/>
            </w:pPr>
            <w:r>
              <w:rPr>
                <w:rFonts w:ascii="Arial" w:cs="Arial" w:eastAsia="Arial" w:hAnsi="Arial"/>
                <w:color w:val="A5D6A7"/>
                <w:sz w:val="18"/>
                <w:szCs w:val="18"/>
              </w:rPr>
              <w:t xml:space="preserve">TD Bank Group  ·  FCRM Enterprise Risk Assessment Reporting Team</w:t>
            </w:r>
          </w:p>
          <w:p>
            <w:pPr>
              <w:spacing w:after="100"/>
            </w:pPr>
            <w:r>
              <w:rPr>
                <w:rFonts w:ascii="Arial" w:cs="Arial" w:eastAsia="Arial" w:hAnsi="Arial"/>
                <w:b/>
                <w:bCs/>
                <w:color w:val="FFFFFF"/>
                <w:sz w:val="52"/>
                <w:szCs w:val="52"/>
              </w:rPr>
              <w:t xml:space="preserve">Audit Navigation Guide</w:t>
            </w:r>
          </w:p>
          <w:p>
            <w:pPr>
              <w:spacing w:after="80"/>
            </w:pPr>
            <w:r>
              <w:rPr>
                <w:rFonts w:ascii="Arial" w:cs="Arial" w:eastAsia="Arial" w:hAnsi="Arial"/>
                <w:color w:val="C8E6C9"/>
                <w:sz w:val="22"/>
                <w:szCs w:val="22"/>
              </w:rPr>
              <w:t xml:space="preserve">ML/TF and Sanctions Risk Assessment  ·  FY2025  ·  MCC Team</w:t>
            </w:r>
          </w:p>
          <w:p>
            <w:r>
              <w:rPr>
                <w:rFonts w:ascii="Arial" w:cs="Arial" w:eastAsia="Arial" w:hAnsi="Arial"/>
                <w:i/>
                <w:iCs/>
                <w:color w:val="A5D6A7"/>
                <w:sz w:val="18"/>
                <w:szCs w:val="18"/>
              </w:rPr>
              <w:t xml:space="preserve">Version 1.0  ·  April 2026  ·  Internal  ·  1LOD / 2LOD / 3LOD and Regulatory Reviewers</w:t>
            </w:r>
          </w:p>
        </w:tc>
      </w:tr>
    </w:tbl>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Attribute</w:t>
            </w:r>
          </w:p>
        </w:tc>
        <w:tc>
          <w:tcPr>
            <w:tcW w:type="dxa" w:w="716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Detail</w:t>
            </w:r>
          </w:p>
        </w:tc>
      </w:tr>
      <w:tr>
        <w:tc>
          <w:tcPr>
            <w:tcW w:type="dxa" w:w="2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Document Title</w:t>
            </w:r>
          </w:p>
        </w:tc>
        <w:tc>
          <w:tcPr>
            <w:tcW w:type="dxa" w:w="71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ML/TF and Sanctions Risk Assessment: Audit Navigation Guide</w:t>
            </w:r>
          </w:p>
        </w:tc>
      </w:tr>
      <w:tr>
        <w:trPr>
          <w:trHeight w:val="400"/>
        </w:trPr>
        <w:tc>
          <w:tcPr>
            <w:tcW w:type="dxa" w:w="2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Document Owner</w:t>
            </w:r>
          </w:p>
        </w:tc>
        <w:tc>
          <w:tcPr>
            <w:tcW w:type="dxa" w:w="71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FCRM Enterprise Risk Assessment Reporting Team (MCC Team)</w:t>
            </w:r>
          </w:p>
        </w:tc>
      </w:tr>
      <w:tr>
        <w:tc>
          <w:tcPr>
            <w:tcW w:type="dxa" w:w="2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Effective Date</w:t>
            </w:r>
          </w:p>
        </w:tc>
        <w:tc>
          <w:tcPr>
            <w:tcW w:type="dxa" w:w="71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April 2026</w:t>
            </w:r>
          </w:p>
        </w:tc>
      </w:tr>
      <w:tr>
        <w:tc>
          <w:tcPr>
            <w:tcW w:type="dxa" w:w="2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Version</w:t>
            </w:r>
          </w:p>
        </w:tc>
        <w:tc>
          <w:tcPr>
            <w:tcW w:type="dxa" w:w="71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1.0</w:t>
            </w:r>
          </w:p>
        </w:tc>
      </w:tr>
      <w:tr>
        <w:tc>
          <w:tcPr>
            <w:tcW w:type="dxa" w:w="2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Target Audience</w:t>
            </w:r>
          </w:p>
        </w:tc>
        <w:tc>
          <w:tcPr>
            <w:tcW w:type="dxa" w:w="71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1LOD, 2LOD, 3LOD (Internal Audit), and Regulatory Reviewers</w:t>
            </w:r>
          </w:p>
        </w:tc>
      </w:tr>
      <w:tr>
        <w:tc>
          <w:tcPr>
            <w:tcW w:type="dxa" w:w="2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System of Record</w:t>
            </w:r>
          </w:p>
        </w:tc>
        <w:tc>
          <w:tcPr>
            <w:tcW w:type="dxa" w:w="71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SharePoint – FCRM Risk Assessment Interactive Site</w:t>
            </w:r>
          </w:p>
        </w:tc>
      </w:tr>
    </w:tbl>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1.  Purpose of This Guide</w:t>
      </w:r>
    </w:p>
    <w:p>
      <w:pPr>
        <w:spacing w:after="60" w:before="60"/>
      </w:pPr>
      <w:r>
        <w:rPr>
          <w:rFonts w:ascii="Arial" w:cs="Arial" w:eastAsia="Arial" w:hAnsi="Arial"/>
          <w:b w:val="false"/>
          <w:bCs w:val="false"/>
          <w:i w:val="false"/>
          <w:iCs w:val="false"/>
          <w:color w:val="212121"/>
          <w:sz w:val="20"/>
          <w:szCs w:val="20"/>
        </w:rPr>
        <w:t xml:space="preserve">This document serves as the primary navigation guide for auditors, regulators, and reviewers assessing the FY2025 FCRM Risk Assessment (RA) delivery. It provides a structured map of all audit-relevant documentation, evidence, and artifacts — organized by process — and explains where each item is stored in SharePoint.</w:t>
      </w:r>
    </w:p>
    <w:p>
      <w:pPr>
        <w:spacing w:after="60" w:before="60"/>
      </w:pPr>
    </w:p>
    <w:p>
      <w:pPr>
        <w:spacing w:after="60" w:before="60"/>
      </w:pPr>
      <w:r>
        <w:rPr>
          <w:rFonts w:ascii="Arial" w:cs="Arial" w:eastAsia="Arial" w:hAnsi="Arial"/>
          <w:b w:val="false"/>
          <w:bCs w:val="false"/>
          <w:i w:val="false"/>
          <w:iCs w:val="false"/>
          <w:color w:val="212121"/>
          <w:sz w:val="20"/>
          <w:szCs w:val="20"/>
        </w:rPr>
        <w:t xml:space="preserve">This guide answers the five core audit questions:</w:t>
      </w:r>
    </w:p>
    <w:p>
      <w:pPr>
        <w:pStyle w:val="ListParagraph"/>
        <w:numPr>
          <w:ilvl w:val="0"/>
          <w:numId w:val="2"/>
        </w:numPr>
        <w:spacing w:after="40" w:before="40"/>
      </w:pPr>
      <w:r>
        <w:rPr>
          <w:rFonts w:ascii="Arial" w:cs="Arial" w:eastAsia="Arial" w:hAnsi="Arial"/>
          <w:b w:val="false"/>
          <w:bCs w:val="false"/>
          <w:color w:val="212121"/>
          <w:sz w:val="19"/>
          <w:szCs w:val="19"/>
        </w:rPr>
        <w:t xml:space="preserve">What is the process or control?</w:t>
      </w:r>
    </w:p>
    <w:p>
      <w:pPr>
        <w:pStyle w:val="ListParagraph"/>
        <w:numPr>
          <w:ilvl w:val="0"/>
          <w:numId w:val="2"/>
        </w:numPr>
        <w:spacing w:after="40" w:before="40"/>
      </w:pPr>
      <w:r>
        <w:rPr>
          <w:rFonts w:ascii="Arial" w:cs="Arial" w:eastAsia="Arial" w:hAnsi="Arial"/>
          <w:b w:val="false"/>
          <w:bCs w:val="false"/>
          <w:color w:val="212121"/>
          <w:sz w:val="19"/>
          <w:szCs w:val="19"/>
        </w:rPr>
        <w:t xml:space="preserve">Who owns it and how is segregation of duties maintained?</w:t>
      </w:r>
    </w:p>
    <w:p>
      <w:pPr>
        <w:pStyle w:val="ListParagraph"/>
        <w:numPr>
          <w:ilvl w:val="0"/>
          <w:numId w:val="2"/>
        </w:numPr>
        <w:spacing w:after="40" w:before="40"/>
      </w:pPr>
      <w:r>
        <w:rPr>
          <w:rFonts w:ascii="Arial" w:cs="Arial" w:eastAsia="Arial" w:hAnsi="Arial"/>
          <w:b w:val="false"/>
          <w:bCs w:val="false"/>
          <w:color w:val="212121"/>
          <w:sz w:val="19"/>
          <w:szCs w:val="19"/>
        </w:rPr>
        <w:t xml:space="preserve">What happens at each step, including pre-requisites and outputs?</w:t>
      </w:r>
    </w:p>
    <w:p>
      <w:pPr>
        <w:pStyle w:val="ListParagraph"/>
        <w:numPr>
          <w:ilvl w:val="0"/>
          <w:numId w:val="2"/>
        </w:numPr>
        <w:spacing w:after="40" w:before="40"/>
      </w:pPr>
      <w:r>
        <w:rPr>
          <w:rFonts w:ascii="Arial" w:cs="Arial" w:eastAsia="Arial" w:hAnsi="Arial"/>
          <w:b w:val="false"/>
          <w:bCs w:val="false"/>
          <w:color w:val="212121"/>
          <w:sz w:val="19"/>
          <w:szCs w:val="19"/>
        </w:rPr>
        <w:t xml:space="preserve">What evidence is generated?</w:t>
      </w:r>
    </w:p>
    <w:p>
      <w:pPr>
        <w:pStyle w:val="ListParagraph"/>
        <w:numPr>
          <w:ilvl w:val="0"/>
          <w:numId w:val="2"/>
        </w:numPr>
        <w:spacing w:after="40" w:before="40"/>
      </w:pPr>
      <w:r>
        <w:rPr>
          <w:rFonts w:ascii="Arial" w:cs="Arial" w:eastAsia="Arial" w:hAnsi="Arial"/>
          <w:b w:val="false"/>
          <w:bCs w:val="false"/>
          <w:color w:val="212121"/>
          <w:sz w:val="19"/>
          <w:szCs w:val="19"/>
        </w:rPr>
        <w:t xml:space="preserve">Where is the evidence stored (system of record)?</w:t>
      </w:r>
    </w:p>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2.  Scope of the Risk Assessment</w:t>
      </w:r>
    </w:p>
    <w:p>
      <w:pPr>
        <w:spacing w:after="60" w:before="60"/>
      </w:pPr>
      <w:r>
        <w:rPr>
          <w:rFonts w:ascii="Arial" w:cs="Arial" w:eastAsia="Arial" w:hAnsi="Arial"/>
          <w:b w:val="false"/>
          <w:bCs w:val="false"/>
          <w:i w:val="false"/>
          <w:iCs w:val="false"/>
          <w:color w:val="212121"/>
          <w:sz w:val="20"/>
          <w:szCs w:val="20"/>
        </w:rPr>
        <w:t xml:space="preserve">The FY2025 FCRM Risk Assessment covers Money Laundering (ML), Terrorist Financing (TF), and Sanctions risk across the TD Bank Group. The MCC Team is responsible for data sourcing, metric population, and delivery of risk scores for each Assessable Unit (AU).</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Scope Dimension</w:t>
            </w:r>
          </w:p>
        </w:tc>
        <w:tc>
          <w:tcPr>
            <w:tcW w:type="dxa" w:w="696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Detail</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Work Packages</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4 (WP-01 Inherent Risk BDEs, WP-02 Supplemental, WP-03 Control Assessment, WP-04 ABAC)</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Metric Definitions</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86 metric definitions across all work packages</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Assessable Units</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35 AUs across CPB, TDI, Wealth, ABAC segments</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Total Metric Instances</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2,240 metric instances (metrics × applicable AUs)</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Data Sources</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73 ADIDO sources + 20 Rahona sources. Data stored in Canada Analytical Zone (CA AZ)</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Delivery Tool</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Jira (FY25 RA CYCLE – DATA project). System of record for all workflow states, decisions, and blockers.</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Scope Reference</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Statement of Work (SOW) v1.32, authored by Richard Ng. Updated weekly via Thursday–Monday cadence.</w:t>
            </w:r>
          </w:p>
        </w:tc>
      </w:tr>
    </w:tbl>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3.  Team and Ownership</w:t>
      </w:r>
    </w:p>
    <w:p>
      <w:pPr>
        <w:spacing w:after="60" w:before="60"/>
      </w:pPr>
      <w:r>
        <w:rPr>
          <w:rFonts w:ascii="Arial" w:cs="Arial" w:eastAsia="Arial" w:hAnsi="Arial"/>
          <w:b w:val="false"/>
          <w:bCs w:val="false"/>
          <w:i w:val="false"/>
          <w:iCs w:val="false"/>
          <w:color w:val="212121"/>
          <w:sz w:val="20"/>
          <w:szCs w:val="20"/>
        </w:rPr>
        <w:t xml:space="preserve">The following individuals own specific processes and are responsible for producing and maintaining evidence within their area. Segregation of duties is maintained — reviewers are independent of preparers, and approvers are AVP or higher.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Name</w:t>
            </w:r>
          </w:p>
        </w:tc>
        <w:tc>
          <w:tcPr>
            <w:tcW w:type="dxa" w:w="28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Process Ownership</w:t>
            </w:r>
          </w:p>
        </w:tc>
        <w:tc>
          <w:tcPr>
            <w:tcW w:type="dxa" w:w="456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Key Responsibilities</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Amandeep</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Delivery Process (Steps 0–4)</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Intake, scope definition, data acquisition, logic build</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Karthik</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Delivery Process (Steps 5–8)</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Output validation, approval, deployment, documentation</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Priyanshi</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Validation &amp; QA (Steps 1–4)</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Validation planning, DQ checks, reconciliation, reasonability analysis</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Sujai</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Validation &amp; QA (Steps 5–8)</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Peer review, output verification, issue logging, sign-off</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Hua</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Data Sourcing &amp; Lineage (Steps 1–3)</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Source identification, access enablement, data extraction</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Subham</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Data Sourcing &amp; Lineage (Steps 4–5)</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Data understanding, lineage documentation</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Raghul</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Data Sourcing &amp; Lineage (Steps 6–7)</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Refresh management, data retention</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Patty</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Governance &amp; Issue Mgmt (Steps 1–4)</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Decision logging, assumption tracking, issue logging, severity assessment</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Tom</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Governance &amp; Issue Mgmt (Steps 5–8)</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Escalation pathways, resolution, risk acceptance, decommissioning</w:t>
            </w:r>
          </w:p>
        </w:tc>
      </w:tr>
      <w:tr>
        <w:tc>
          <w:tcPr>
            <w:tcW w:type="dxa" w:w="2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Richard Ng</w:t>
            </w:r>
          </w:p>
        </w:tc>
        <w:tc>
          <w:tcPr>
            <w:tcW w:type="dxa" w:w="2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Scope / SOW Owner</w:t>
            </w:r>
          </w:p>
        </w:tc>
        <w:tc>
          <w:tcPr>
            <w:tcW w:type="dxa" w:w="4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Maintains SOW v1.32, manages weekly scope changes, AU mapping</w:t>
            </w:r>
          </w:p>
        </w:tc>
      </w:tr>
    </w:tbl>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4.  SharePoint Folder Structure</w:t>
      </w:r>
    </w:p>
    <w:p>
      <w:pPr>
        <w:spacing w:after="60" w:before="60"/>
      </w:pPr>
      <w:r>
        <w:rPr>
          <w:rFonts w:ascii="Arial" w:cs="Arial" w:eastAsia="Arial" w:hAnsi="Arial"/>
          <w:b w:val="false"/>
          <w:bCs w:val="false"/>
          <w:i w:val="false"/>
          <w:iCs w:val="false"/>
          <w:color w:val="212121"/>
          <w:sz w:val="20"/>
          <w:szCs w:val="20"/>
        </w:rPr>
        <w:t xml:space="preserve">All audit documentation and evidence is stored in the FCRM Risk Assessment Interactive Site on SharePoint, organized as follows. Navigate to the folder for the process you are reviewing, then select either Standards (guide documents) or Evidence (execution artifacts).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Folder</w:t>
            </w:r>
          </w:p>
        </w:tc>
        <w:tc>
          <w:tcPr>
            <w:tcW w:type="dxa" w:w="42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Contents</w:t>
            </w:r>
          </w:p>
        </w:tc>
        <w:tc>
          <w:tcPr>
            <w:tcW w:type="dxa" w:w="256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Status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00 – Audit Navigation</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This document, Evidence Tracker (xlsx), Process Inventory Table</w:t>
            </w:r>
          </w:p>
        </w:tc>
        <w:tc>
          <w:tcPr>
            <w:tcW w:type="dxa" w:w="2560"/>
            <w:tcBorders>
              <w:top w:val="single" w:color="A5D6A7" w:sz="4"/>
              <w:left w:val="single" w:color="A5D6A7" w:sz="4"/>
              <w:bottom w:val="single" w:color="A5D6A7" w:sz="4"/>
              <w:right w:val="single" w:color="A5D6A7" w:sz="4"/>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18"/>
                <w:szCs w:val="18"/>
              </w:rPr>
              <w:t xml:space="preserve">Complete</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01 – Delivery Process</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Standards: Delivery Process SOP v1.2
Evidence: Jira ticket exports, scope sign-offs, deployment logs</w:t>
            </w:r>
          </w:p>
        </w:tc>
        <w:tc>
          <w:tcPr>
            <w:tcW w:type="dxa" w:w="2560"/>
            <w:tcBorders>
              <w:top w:val="single" w:color="A5D6A7" w:sz="4"/>
              <w:left w:val="single" w:color="A5D6A7" w:sz="4"/>
              <w:bottom w:val="single" w:color="A5D6A7" w:sz="4"/>
              <w:right w:val="single" w:color="A5D6A7" w:sz="4"/>
            </w:tcBorders>
            <w:shd w:fill="FFF9C4" w:val="clear"/>
            <w:tcMar>
              <w:top w:type="dxa" w:w="80"/>
              <w:left w:type="dxa" w:w="140"/>
              <w:bottom w:type="dxa" w:w="80"/>
              <w:right w:type="dxa" w:w="140"/>
            </w:tcMar>
            <w:vAlign w:val="center"/>
          </w:tcPr>
          <w:p>
            <w:pPr>
              <w:jc w:val="center"/>
            </w:pPr>
            <w:r>
              <w:rPr>
                <w:rFonts w:ascii="Arial" w:cs="Arial" w:eastAsia="Arial" w:hAnsi="Arial"/>
                <w:b/>
                <w:bCs/>
                <w:color w:val="F57F17"/>
                <w:sz w:val="18"/>
                <w:szCs w:val="18"/>
              </w:rPr>
              <w:t xml:space="preserve">In Progress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02 – Validation &amp; QA</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Standards: QA &amp; Governance SOP v2.1, Output Validation Doc, Approvals Doc
Evidence: DQ check results, reconciliation reports, peer review sign-offs</w:t>
            </w:r>
          </w:p>
        </w:tc>
        <w:tc>
          <w:tcPr>
            <w:tcW w:type="dxa" w:w="2560"/>
            <w:tcBorders>
              <w:top w:val="single" w:color="A5D6A7" w:sz="4"/>
              <w:left w:val="single" w:color="A5D6A7" w:sz="4"/>
              <w:bottom w:val="single" w:color="A5D6A7" w:sz="4"/>
              <w:right w:val="single" w:color="A5D6A7" w:sz="4"/>
            </w:tcBorders>
            <w:shd w:fill="FFF9C4" w:val="clear"/>
            <w:tcMar>
              <w:top w:type="dxa" w:w="80"/>
              <w:left w:type="dxa" w:w="140"/>
              <w:bottom w:type="dxa" w:w="80"/>
              <w:right w:type="dxa" w:w="140"/>
            </w:tcMar>
            <w:vAlign w:val="center"/>
          </w:tcPr>
          <w:p>
            <w:pPr>
              <w:jc w:val="center"/>
            </w:pPr>
            <w:r>
              <w:rPr>
                <w:rFonts w:ascii="Arial" w:cs="Arial" w:eastAsia="Arial" w:hAnsi="Arial"/>
                <w:b/>
                <w:bCs/>
                <w:color w:val="F57F17"/>
                <w:sz w:val="18"/>
                <w:szCs w:val="18"/>
              </w:rPr>
              <w:t xml:space="preserve">In Progress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03 – Data Sourcing &amp; Lineage</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Standards: Data Sourcing &amp; Lineage Management Doc v1.0
Evidence: Master_Data_source_FY2025.xlsx, PIA records, extraction logs, lineage register</w:t>
            </w:r>
          </w:p>
        </w:tc>
        <w:tc>
          <w:tcPr>
            <w:tcW w:type="dxa" w:w="2560"/>
            <w:tcBorders>
              <w:top w:val="single" w:color="A5D6A7" w:sz="4"/>
              <w:left w:val="single" w:color="A5D6A7" w:sz="4"/>
              <w:bottom w:val="single" w:color="A5D6A7" w:sz="4"/>
              <w:right w:val="single" w:color="A5D6A7" w:sz="4"/>
            </w:tcBorders>
            <w:shd w:fill="FFF9C4" w:val="clear"/>
            <w:tcMar>
              <w:top w:type="dxa" w:w="80"/>
              <w:left w:type="dxa" w:w="140"/>
              <w:bottom w:type="dxa" w:w="80"/>
              <w:right w:type="dxa" w:w="140"/>
            </w:tcMar>
            <w:vAlign w:val="center"/>
          </w:tcPr>
          <w:p>
            <w:pPr>
              <w:jc w:val="center"/>
            </w:pPr>
            <w:r>
              <w:rPr>
                <w:rFonts w:ascii="Arial" w:cs="Arial" w:eastAsia="Arial" w:hAnsi="Arial"/>
                <w:b/>
                <w:bCs/>
                <w:color w:val="F57F17"/>
                <w:sz w:val="18"/>
                <w:szCs w:val="18"/>
              </w:rPr>
              <w:t xml:space="preserve">In Progress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04 – Governance &amp; Issue Mgmt</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Standards: Governance SOP
Evidence: RAID log export, Jira decision logs, risk acceptance records</w:t>
            </w:r>
          </w:p>
        </w:tc>
        <w:tc>
          <w:tcPr>
            <w:tcW w:type="dxa" w:w="2560"/>
            <w:tcBorders>
              <w:top w:val="single" w:color="A5D6A7" w:sz="4"/>
              <w:left w:val="single" w:color="A5D6A7" w:sz="4"/>
              <w:bottom w:val="single" w:color="A5D6A7" w:sz="4"/>
              <w:right w:val="single" w:color="A5D6A7" w:sz="4"/>
            </w:tcBorders>
            <w:shd w:fill="FFF9C4" w:val="clear"/>
            <w:tcMar>
              <w:top w:type="dxa" w:w="80"/>
              <w:left w:type="dxa" w:w="140"/>
              <w:bottom w:type="dxa" w:w="80"/>
              <w:right w:type="dxa" w:w="140"/>
            </w:tcMar>
            <w:vAlign w:val="center"/>
          </w:tcPr>
          <w:p>
            <w:pPr>
              <w:jc w:val="center"/>
            </w:pPr>
            <w:r>
              <w:rPr>
                <w:rFonts w:ascii="Arial" w:cs="Arial" w:eastAsia="Arial" w:hAnsi="Arial"/>
                <w:b/>
                <w:bCs/>
                <w:color w:val="F57F17"/>
                <w:sz w:val="18"/>
                <w:szCs w:val="18"/>
              </w:rPr>
              <w:t xml:space="preserve">In Progress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05 – Access Control &amp; Security</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Standards: Access Control SOP
Evidence: PIA documentation, access request forms, access approval log</w:t>
            </w:r>
          </w:p>
        </w:tc>
        <w:tc>
          <w:tcPr>
            <w:tcW w:type="dxa" w:w="2560"/>
            <w:tcBorders>
              <w:top w:val="single" w:color="A5D6A7" w:sz="4"/>
              <w:left w:val="single" w:color="A5D6A7" w:sz="4"/>
              <w:bottom w:val="single" w:color="A5D6A7" w:sz="4"/>
              <w:right w:val="single" w:color="A5D6A7" w:sz="4"/>
            </w:tcBorders>
            <w:shd w:fill="FFEBEE" w:val="clear"/>
            <w:tcMar>
              <w:top w:type="dxa" w:w="80"/>
              <w:left w:type="dxa" w:w="140"/>
              <w:bottom w:type="dxa" w:w="80"/>
              <w:right w:type="dxa" w:w="140"/>
            </w:tcMar>
            <w:vAlign w:val="center"/>
          </w:tcPr>
          <w:p>
            <w:pPr>
              <w:jc w:val="center"/>
            </w:pPr>
            <w:r>
              <w:rPr>
                <w:rFonts w:ascii="Arial" w:cs="Arial" w:eastAsia="Arial" w:hAnsi="Arial"/>
                <w:b/>
                <w:bCs/>
                <w:color w:val="C62828"/>
                <w:sz w:val="18"/>
                <w:szCs w:val="18"/>
              </w:rPr>
              <w:t xml:space="preserve">Not Started</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06 – Change Management</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Standards: Change Management SOP
Evidence: Change tickets, deployment approvals, Git version history</w:t>
            </w:r>
          </w:p>
        </w:tc>
        <w:tc>
          <w:tcPr>
            <w:tcW w:type="dxa" w:w="2560"/>
            <w:tcBorders>
              <w:top w:val="single" w:color="A5D6A7" w:sz="4"/>
              <w:left w:val="single" w:color="A5D6A7" w:sz="4"/>
              <w:bottom w:val="single" w:color="A5D6A7" w:sz="4"/>
              <w:right w:val="single" w:color="A5D6A7" w:sz="4"/>
            </w:tcBorders>
            <w:shd w:fill="FFEBEE" w:val="clear"/>
            <w:tcMar>
              <w:top w:type="dxa" w:w="80"/>
              <w:left w:type="dxa" w:w="140"/>
              <w:bottom w:type="dxa" w:w="80"/>
              <w:right w:type="dxa" w:w="140"/>
            </w:tcMar>
            <w:vAlign w:val="center"/>
          </w:tcPr>
          <w:p>
            <w:pPr>
              <w:jc w:val="center"/>
            </w:pPr>
            <w:r>
              <w:rPr>
                <w:rFonts w:ascii="Arial" w:cs="Arial" w:eastAsia="Arial" w:hAnsi="Arial"/>
                <w:b/>
                <w:bCs/>
                <w:color w:val="C62828"/>
                <w:sz w:val="18"/>
                <w:szCs w:val="18"/>
              </w:rPr>
              <w:t xml:space="preserve">Not Started</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07 – Process Flow Diagrams</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Delivery Process.pptx, Peer Review.pptx, Validation &amp; QA.pptx, Data Sourcing.pptx, Governance.pptx</w:t>
            </w:r>
          </w:p>
        </w:tc>
        <w:tc>
          <w:tcPr>
            <w:tcW w:type="dxa" w:w="2560"/>
            <w:tcBorders>
              <w:top w:val="single" w:color="A5D6A7" w:sz="4"/>
              <w:left w:val="single" w:color="A5D6A7" w:sz="4"/>
              <w:bottom w:val="single" w:color="A5D6A7" w:sz="4"/>
              <w:right w:val="single" w:color="A5D6A7" w:sz="4"/>
            </w:tcBorders>
            <w:shd w:fill="FFF9C4" w:val="clear"/>
            <w:tcMar>
              <w:top w:type="dxa" w:w="80"/>
              <w:left w:type="dxa" w:w="140"/>
              <w:bottom w:type="dxa" w:w="80"/>
              <w:right w:type="dxa" w:w="140"/>
            </w:tcMar>
            <w:vAlign w:val="center"/>
          </w:tcPr>
          <w:p>
            <w:pPr>
              <w:jc w:val="center"/>
            </w:pPr>
            <w:r>
              <w:rPr>
                <w:rFonts w:ascii="Arial" w:cs="Arial" w:eastAsia="Arial" w:hAnsi="Arial"/>
                <w:b/>
                <w:bCs/>
                <w:color w:val="F57F17"/>
                <w:sz w:val="18"/>
                <w:szCs w:val="18"/>
              </w:rPr>
              <w:t xml:space="preserve">In Progress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08 – Archive</w:t>
            </w:r>
          </w:p>
        </w:tc>
        <w:tc>
          <w:tcPr>
            <w:tcW w:type="dxa" w:w="42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Previous document versions and superseded artifacts</w:t>
            </w:r>
          </w:p>
        </w:tc>
        <w:tc>
          <w:tcPr>
            <w:tcW w:type="dxa" w:w="2560"/>
            <w:tcBorders>
              <w:top w:val="single" w:color="A5D6A7" w:sz="4"/>
              <w:left w:val="single" w:color="A5D6A7" w:sz="4"/>
              <w:bottom w:val="single" w:color="A5D6A7" w:sz="4"/>
              <w:right w:val="single" w:color="A5D6A7" w:sz="4"/>
            </w:tcBorders>
            <w:shd w:fill="E8F5E9" w:val="clear"/>
            <w:tcMar>
              <w:top w:type="dxa" w:w="80"/>
              <w:left w:type="dxa" w:w="140"/>
              <w:bottom w:type="dxa" w:w="80"/>
              <w:right w:type="dxa" w:w="140"/>
            </w:tcMar>
            <w:vAlign w:val="center"/>
          </w:tcPr>
          <w:p>
            <w:pPr>
              <w:jc w:val="center"/>
            </w:pPr>
            <w:r>
              <w:rPr>
                <w:rFonts w:ascii="Arial" w:cs="Arial" w:eastAsia="Arial" w:hAnsi="Arial"/>
                <w:b/>
                <w:bCs/>
                <w:color w:val="2E7D32"/>
                <w:sz w:val="18"/>
                <w:szCs w:val="18"/>
              </w:rPr>
              <w:t xml:space="preserve">Complete</w:t>
            </w:r>
          </w:p>
        </w:tc>
      </w:tr>
    </w:tbl>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5.  Process Summary</w:t>
      </w:r>
    </w:p>
    <w:p>
      <w:pPr>
        <w:spacing w:after="60" w:before="60"/>
      </w:pPr>
      <w:r>
        <w:rPr>
          <w:rFonts w:ascii="Arial" w:cs="Arial" w:eastAsia="Arial" w:hAnsi="Arial"/>
          <w:b w:val="false"/>
          <w:bCs w:val="false"/>
          <w:i w:val="false"/>
          <w:iCs w:val="false"/>
          <w:color w:val="212121"/>
          <w:sz w:val="20"/>
          <w:szCs w:val="20"/>
        </w:rPr>
        <w:t xml:space="preserve">The following table provides a one-line summary of each process, its owner, and the primary Jira workflow state that serves as execution evidence.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400"/>
        <w:gridCol w:w="2560"/>
      </w:tblGrid>
      <w:tr>
        <w:tc>
          <w:tcPr>
            <w:tcW w:type="dxa" w:w="26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Process</w:t>
            </w:r>
          </w:p>
        </w:tc>
        <w:tc>
          <w:tcPr>
            <w:tcW w:type="dxa" w:w="18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Owner(s)</w:t>
            </w:r>
          </w:p>
        </w:tc>
        <w:tc>
          <w:tcPr>
            <w:tcW w:type="dxa" w:w="24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Primary Jira Evidence State</w:t>
            </w:r>
          </w:p>
        </w:tc>
        <w:tc>
          <w:tcPr>
            <w:tcW w:type="dxa" w:w="256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Key Deliverable</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Delivery Process</w:t>
            </w:r>
          </w:p>
        </w:tc>
        <w:tc>
          <w:tcPr>
            <w:tcW w:type="dxa" w:w="1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Amandeep, Karthik</w:t>
            </w:r>
          </w:p>
        </w:tc>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BUILD COMPLETE (754 tickets)</w:t>
            </w:r>
          </w:p>
        </w:tc>
        <w:tc>
          <w:tcPr>
            <w:tcW w:type="dxa" w:w="2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Deployed metric outputs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Validation &amp; QA</w:t>
            </w:r>
          </w:p>
        </w:tc>
        <w:tc>
          <w:tcPr>
            <w:tcW w:type="dxa" w:w="1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Priyanshi, Sujai</w:t>
            </w:r>
          </w:p>
        </w:tc>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AU REVIEW APPROVAL → PO APPROVED</w:t>
            </w:r>
          </w:p>
        </w:tc>
        <w:tc>
          <w:tcPr>
            <w:tcW w:type="dxa" w:w="2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Signed validation &amp; reconciliation reports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Data Sourcing &amp; Lineage</w:t>
            </w:r>
          </w:p>
        </w:tc>
        <w:tc>
          <w:tcPr>
            <w:tcW w:type="dxa" w:w="1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Hua, Subham, Raghul</w:t>
            </w:r>
          </w:p>
        </w:tc>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DATA PROVISIONED IN AZ</w:t>
            </w:r>
          </w:p>
        </w:tc>
        <w:tc>
          <w:tcPr>
            <w:tcW w:type="dxa" w:w="2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Master Data Source Sheet, Lineage Register</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Governance &amp; Issue Mgmt</w:t>
            </w:r>
          </w:p>
        </w:tc>
        <w:tc>
          <w:tcPr>
            <w:tcW w:type="dxa" w:w="1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Patty, Tom</w:t>
            </w:r>
          </w:p>
        </w:tc>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BLOCKED → READY FOR FINAL REVIEW</w:t>
            </w:r>
          </w:p>
        </w:tc>
        <w:tc>
          <w:tcPr>
            <w:tcW w:type="dxa" w:w="2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RAID Log (137 items)</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Access Control &amp; Security</w:t>
            </w:r>
          </w:p>
        </w:tc>
        <w:tc>
          <w:tcPr>
            <w:tcW w:type="dxa" w:w="1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TBD</w:t>
            </w:r>
          </w:p>
        </w:tc>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PIA APPROVED</w:t>
            </w:r>
          </w:p>
        </w:tc>
        <w:tc>
          <w:tcPr>
            <w:tcW w:type="dxa" w:w="2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PIA records, access approval log</w:t>
            </w:r>
          </w:p>
        </w:tc>
      </w:tr>
      <w:tr>
        <w:tc>
          <w:tcPr>
            <w:tcW w:type="dxa" w:w="26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Change Management</w:t>
            </w:r>
          </w:p>
        </w:tc>
        <w:tc>
          <w:tcPr>
            <w:tcW w:type="dxa" w:w="18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TBD</w:t>
            </w:r>
          </w:p>
        </w:tc>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Change tickets / Git history</w:t>
            </w:r>
          </w:p>
        </w:tc>
        <w:tc>
          <w:tcPr>
            <w:tcW w:type="dxa" w:w="25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Deployment log, rollback procedures</w:t>
            </w:r>
          </w:p>
        </w:tc>
      </w:tr>
    </w:tbl>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6.  Key Systems and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System</w:t>
            </w:r>
          </w:p>
        </w:tc>
        <w:tc>
          <w:tcPr>
            <w:tcW w:type="dxa" w:w="696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Role in RA Delivery</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Jira (FY25DATA)</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Primary system of record for all delivery workflow states, decisions, blockers, and issue logging. 535+ active tickets, 754 BUILD COMPLETE as of April 2026.</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SharePoint</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Central repository for all audit documentation, SOPs, evidence artifacts, and process flow diagrams. Organized by process folder (00–08).</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Rahona (CA AZ)</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Primary data warehouse. 20 data sources. Data extracted and stored in the Canada Analytical Zone (CA AZ) for metric population.</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ADIDO</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Business-managed data files. 73 data sources. Provided by First Line business stakeholders for AU-specific data elements.</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ERA (FCRM AZ)</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Reference data source for enterprise risk and assessable unit data used in metric population.</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Python / SQL</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Development language for all data extraction scripts, transformation logic, aggregations, and metric calculations. All queries approved by First Line before execution.</w:t>
            </w:r>
          </w:p>
        </w:tc>
      </w:tr>
      <w:tr>
        <w:tc>
          <w:tcPr>
            <w:tcW w:type="dxa" w:w="24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bCs/>
                <w:i w:val="false"/>
                <w:iCs w:val="false"/>
                <w:color w:val="212121"/>
                <w:sz w:val="20"/>
                <w:szCs w:val="20"/>
              </w:rPr>
              <w:t xml:space="preserve">Git</w:t>
            </w:r>
          </w:p>
        </w:tc>
        <w:tc>
          <w:tcPr>
            <w:tcW w:type="dxa" w:w="69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Version control for all code. Git history serves as evidence of change management and versioning.</w:t>
            </w:r>
          </w:p>
        </w:tc>
      </w:tr>
    </w:tbl>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7.  Governance and Segregation of Duties</w:t>
      </w:r>
    </w:p>
    <w:p>
      <w:pPr>
        <w:spacing w:after="60" w:before="60"/>
      </w:pPr>
      <w:r>
        <w:rPr>
          <w:rFonts w:ascii="Arial" w:cs="Arial" w:eastAsia="Arial" w:hAnsi="Arial"/>
          <w:b w:val="false"/>
          <w:bCs w:val="false"/>
          <w:i w:val="false"/>
          <w:iCs w:val="false"/>
          <w:color w:val="212121"/>
          <w:sz w:val="20"/>
          <w:szCs w:val="20"/>
        </w:rPr>
        <w:t xml:space="preserve">The following governance controls are in place throughout the RA delivery cycle:</w:t>
      </w:r>
    </w:p>
    <w:p>
      <w:pPr>
        <w:spacing w:after="60" w:before="60"/>
      </w:pPr>
    </w:p>
    <w:p>
      <w:pPr>
        <w:pStyle w:val="ListParagraph"/>
        <w:numPr>
          <w:ilvl w:val="0"/>
          <w:numId w:val="2"/>
        </w:numPr>
        <w:spacing w:after="40" w:before="40"/>
      </w:pPr>
      <w:r>
        <w:rPr>
          <w:rFonts w:ascii="Arial" w:cs="Arial" w:eastAsia="Arial" w:hAnsi="Arial"/>
          <w:b w:val="false"/>
          <w:bCs w:val="false"/>
          <w:color w:val="212121"/>
          <w:sz w:val="19"/>
          <w:szCs w:val="19"/>
        </w:rPr>
        <w:t xml:space="preserve">All business logic, scoping, and methodological decisions are logged in Jira. Out-of-band decisions are not permitted.</w:t>
      </w:r>
    </w:p>
    <w:p>
      <w:pPr>
        <w:pStyle w:val="ListParagraph"/>
        <w:numPr>
          <w:ilvl w:val="0"/>
          <w:numId w:val="2"/>
        </w:numPr>
        <w:spacing w:after="40" w:before="40"/>
      </w:pPr>
      <w:r>
        <w:rPr>
          <w:rFonts w:ascii="Arial" w:cs="Arial" w:eastAsia="Arial" w:hAnsi="Arial"/>
          <w:b w:val="false"/>
          <w:bCs w:val="false"/>
          <w:color w:val="212121"/>
          <w:sz w:val="19"/>
          <w:szCs w:val="19"/>
        </w:rPr>
        <w:t xml:space="preserve">Reviewers cannot be the same individual as the preparer or data inputter (segregation of duties).</w:t>
      </w:r>
    </w:p>
    <w:p>
      <w:pPr>
        <w:pStyle w:val="ListParagraph"/>
        <w:numPr>
          <w:ilvl w:val="0"/>
          <w:numId w:val="2"/>
        </w:numPr>
        <w:spacing w:after="40" w:before="40"/>
      </w:pPr>
      <w:r>
        <w:rPr>
          <w:rFonts w:ascii="Arial" w:cs="Arial" w:eastAsia="Arial" w:hAnsi="Arial"/>
          <w:b w:val="false"/>
          <w:bCs w:val="false"/>
          <w:color w:val="212121"/>
          <w:sz w:val="19"/>
          <w:szCs w:val="19"/>
        </w:rPr>
        <w:t xml:space="preserve">All approvers must be AVP or higher.</w:t>
      </w:r>
    </w:p>
    <w:p>
      <w:pPr>
        <w:pStyle w:val="ListParagraph"/>
        <w:numPr>
          <w:ilvl w:val="0"/>
          <w:numId w:val="2"/>
        </w:numPr>
        <w:spacing w:after="40" w:before="40"/>
      </w:pPr>
      <w:r>
        <w:rPr>
          <w:rFonts w:ascii="Arial" w:cs="Arial" w:eastAsia="Arial" w:hAnsi="Arial"/>
          <w:b w:val="false"/>
          <w:bCs w:val="false"/>
          <w:color w:val="212121"/>
          <w:sz w:val="19"/>
          <w:szCs w:val="19"/>
        </w:rPr>
        <w:t xml:space="preserve">Metrics requiring Privacy Impact Assessments (PIAs) must pass through PIA BUILD → WITH PRIVACY TEAM → PIA APPROVED Jira states before data execution.</w:t>
      </w:r>
    </w:p>
    <w:p>
      <w:pPr>
        <w:pStyle w:val="ListParagraph"/>
        <w:numPr>
          <w:ilvl w:val="0"/>
          <w:numId w:val="2"/>
        </w:numPr>
        <w:spacing w:after="40" w:before="40"/>
      </w:pPr>
      <w:r>
        <w:rPr>
          <w:rFonts w:ascii="Arial" w:cs="Arial" w:eastAsia="Arial" w:hAnsi="Arial"/>
          <w:b w:val="false"/>
          <w:bCs w:val="false"/>
          <w:color w:val="212121"/>
          <w:sz w:val="19"/>
          <w:szCs w:val="19"/>
        </w:rPr>
        <w:t xml:space="preserve">If data availability is below 95% threshold, the Inherent Risk factor is formally recorded as 'Not Available' in the system.</w:t>
      </w:r>
    </w:p>
    <w:p>
      <w:pPr>
        <w:pStyle w:val="ListParagraph"/>
        <w:numPr>
          <w:ilvl w:val="0"/>
          <w:numId w:val="2"/>
        </w:numPr>
        <w:spacing w:after="40" w:before="40"/>
      </w:pPr>
      <w:r>
        <w:rPr>
          <w:rFonts w:ascii="Arial" w:cs="Arial" w:eastAsia="Arial" w:hAnsi="Arial"/>
          <w:b w:val="false"/>
          <w:bCs w:val="false"/>
          <w:color w:val="212121"/>
          <w:sz w:val="19"/>
          <w:szCs w:val="19"/>
        </w:rPr>
        <w:t xml:space="preserve">Risk acceptance for unresolvable issues is formally logged in the RAID log and tracked in Jira until the ticket transitions to NOT AVAILABLE or READY FOR FINAL REVIEW.</w:t>
      </w:r>
    </w:p>
    <w:p>
      <w:pPr>
        <w:pStyle w:val="ListParagraph"/>
        <w:numPr>
          <w:ilvl w:val="0"/>
          <w:numId w:val="2"/>
        </w:numPr>
        <w:spacing w:after="40" w:before="40"/>
      </w:pPr>
      <w:r>
        <w:rPr>
          <w:rFonts w:ascii="Arial" w:cs="Arial" w:eastAsia="Arial" w:hAnsi="Arial"/>
          <w:b w:val="false"/>
          <w:bCs w:val="false"/>
          <w:color w:val="212121"/>
          <w:sz w:val="19"/>
          <w:szCs w:val="19"/>
        </w:rPr>
        <w:t xml:space="preserve">No output can be finalized without documented business consent via PO CONCURRENCE → PO APPROVED Jira states.</w:t>
      </w:r>
    </w:p>
    <w:p>
      <w:pPr>
        <w:pStyle w:val="ListParagraph"/>
        <w:numPr>
          <w:ilvl w:val="0"/>
          <w:numId w:val="2"/>
        </w:numPr>
        <w:spacing w:after="40" w:before="40"/>
      </w:pPr>
      <w:r>
        <w:rPr>
          <w:rFonts w:ascii="Arial" w:cs="Arial" w:eastAsia="Arial" w:hAnsi="Arial"/>
          <w:b w:val="false"/>
          <w:bCs w:val="false"/>
          <w:color w:val="212121"/>
          <w:sz w:val="19"/>
          <w:szCs w:val="19"/>
        </w:rPr>
        <w:t xml:space="preserve">Decommissioned metrics or out-of-scope AUs are transitioned to NO LONGER REQUIRED or NOT APPLICABLE in Jira to maintain historical traceability.</w:t>
      </w:r>
    </w:p>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8.  Evidence Strategy</w:t>
      </w:r>
    </w:p>
    <w:p>
      <w:pPr>
        <w:spacing w:after="60" w:before="60"/>
      </w:pPr>
      <w:r>
        <w:rPr>
          <w:rFonts w:ascii="Arial" w:cs="Arial" w:eastAsia="Arial" w:hAnsi="Arial"/>
          <w:b w:val="false"/>
          <w:bCs w:val="false"/>
          <w:i w:val="false"/>
          <w:iCs w:val="false"/>
          <w:color w:val="212121"/>
          <w:sz w:val="20"/>
          <w:szCs w:val="20"/>
        </w:rPr>
        <w:t xml:space="preserve">Evidence is captured as part of normal delivery operations — it is not recreated for audit purposes. The table below maps each audit question to the evidence type and location.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Audit Question</w:t>
            </w:r>
          </w:p>
        </w:tc>
        <w:tc>
          <w:tcPr>
            <w:tcW w:type="dxa" w:w="336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Evidence Type</w:t>
            </w:r>
          </w:p>
        </w:tc>
        <w:tc>
          <w:tcPr>
            <w:tcW w:type="dxa" w:w="3000"/>
            <w:tcBorders>
              <w:top w:val="single" w:color="A5D6A7" w:sz="4"/>
              <w:left w:val="single" w:color="A5D6A7" w:sz="4"/>
              <w:bottom w:val="single" w:color="A5D6A7" w:sz="4"/>
              <w:right w:val="single" w:color="A5D6A7" w:sz="4"/>
            </w:tcBorders>
            <w:shd w:fill="C8E6C9" w:val="clear"/>
            <w:tcMar>
              <w:top w:type="dxa" w:w="100"/>
              <w:left w:type="dxa" w:w="140"/>
              <w:bottom w:type="dxa" w:w="100"/>
              <w:right w:type="dxa" w:w="140"/>
            </w:tcMar>
            <w:vAlign w:val="center"/>
          </w:tcPr>
          <w:p>
            <w:pPr>
              <w:jc w:val="left"/>
            </w:pPr>
            <w:r>
              <w:rPr>
                <w:rFonts w:ascii="Arial" w:cs="Arial" w:eastAsia="Arial" w:hAnsi="Arial"/>
                <w:b/>
                <w:bCs/>
                <w:color w:val="145214"/>
                <w:sz w:val="20"/>
                <w:szCs w:val="20"/>
              </w:rPr>
              <w:t xml:space="preserve">Location</w:t>
            </w:r>
          </w:p>
        </w:tc>
      </w:tr>
      <w:tr>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What is the process?</w:t>
            </w:r>
          </w:p>
        </w:tc>
        <w:tc>
          <w:tcPr>
            <w:tcW w:type="dxa" w:w="33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SOPs, process flow diagrams, procedure docs</w:t>
            </w:r>
          </w:p>
        </w:tc>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SharePoint folders 01–06, folder 07</w:t>
            </w:r>
          </w:p>
        </w:tc>
      </w:tr>
      <w:tr>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Who owns it?</w:t>
            </w:r>
          </w:p>
        </w:tc>
        <w:tc>
          <w:tcPr>
            <w:tcW w:type="dxa" w:w="33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Named owners in SOPs, Jira ticket assignees, this document Section 3</w:t>
            </w:r>
          </w:p>
        </w:tc>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This doc + Jira board</w:t>
            </w:r>
          </w:p>
        </w:tc>
      </w:tr>
      <w:tr>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What decisions were made?</w:t>
            </w:r>
          </w:p>
        </w:tc>
        <w:tc>
          <w:tcPr>
            <w:tcW w:type="dxa" w:w="33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Jira ticket history, RAID log entries, decision logs</w:t>
            </w:r>
          </w:p>
        </w:tc>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Jira FY25DATA project + SharePoint folder 04</w:t>
            </w:r>
          </w:p>
        </w:tc>
      </w:tr>
      <w:tr>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What evidence exists?</w:t>
            </w:r>
          </w:p>
        </w:tc>
        <w:tc>
          <w:tcPr>
            <w:tcW w:type="dxa" w:w="33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DQ reports, reconciliation outputs, approval records, extraction logs, Git history</w:t>
            </w:r>
          </w:p>
        </w:tc>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SharePoint Evidence subfolders per process</w:t>
            </w:r>
          </w:p>
        </w:tc>
      </w:tr>
      <w:tr>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Where is everything stored?</w:t>
            </w:r>
          </w:p>
        </w:tc>
        <w:tc>
          <w:tcPr>
            <w:tcW w:type="dxa" w:w="33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SharePoint organized by process (00–08) with Standards and Evidence subfolders</w:t>
            </w:r>
          </w:p>
        </w:tc>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FCRM Risk Assessment Interactive Site</w:t>
            </w:r>
          </w:p>
        </w:tc>
      </w:tr>
      <w:tr>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How was data quality assured?</w:t>
            </w:r>
          </w:p>
        </w:tc>
        <w:tc>
          <w:tcPr>
            <w:tcW w:type="dxa" w:w="33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DQ checks (completeness, accuracy, consistency, uniqueness, timeliness), reconciliation reports, reasonability analysis</w:t>
            </w:r>
          </w:p>
        </w:tc>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SharePoint folder 02 – Evidence</w:t>
            </w:r>
          </w:p>
        </w:tc>
      </w:tr>
      <w:tr>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How were blockers handled?</w:t>
            </w:r>
          </w:p>
        </w:tc>
        <w:tc>
          <w:tcPr>
            <w:tcW w:type="dxa" w:w="336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RAID log (137 items), Jira BLOCKED tickets (49 active), escalation matrix</w:t>
            </w:r>
          </w:p>
        </w:tc>
        <w:tc>
          <w:tcPr>
            <w:tcW w:type="dxa" w:w="3000"/>
            <w:tcBorders>
              <w:top w:val="single" w:color="A5D6A7" w:sz="4"/>
              <w:left w:val="single" w:color="A5D6A7" w:sz="4"/>
              <w:bottom w:val="single" w:color="A5D6A7" w:sz="4"/>
              <w:right w:val="single" w:color="A5D6A7"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212121"/>
                <w:sz w:val="18"/>
                <w:szCs w:val="18"/>
              </w:rPr>
              <w:t xml:space="preserve">SharePoint folder 04 + Jira</w:t>
            </w:r>
          </w:p>
        </w:tc>
      </w:tr>
    </w:tbl>
    <w:p>
      <w:pPr>
        <w:spacing w:after="60" w:before="60"/>
      </w:pPr>
    </w:p>
    <w:p>
      <w:pPr>
        <w:pBdr>
          <w:bottom w:val="single" w:color="CCCCCC" w:sz="4" w:space="1"/>
        </w:pBdr>
        <w:spacing w:after="160" w:before="160"/>
      </w:pPr>
    </w:p>
    <w:p>
      <w:pPr>
        <w:pStyle w:val="Heading1"/>
        <w:pBdr>
          <w:bottom w:val="single" w:color="1B5E20" w:sz="6" w:space="4"/>
        </w:pBdr>
        <w:spacing w:after="120" w:before="320"/>
      </w:pPr>
      <w:r>
        <w:rPr>
          <w:rFonts w:ascii="Arial" w:cs="Arial" w:eastAsia="Arial" w:hAnsi="Arial"/>
          <w:b/>
          <w:bCs/>
          <w:color w:val="1B5E20"/>
          <w:sz w:val="32"/>
          <w:szCs w:val="32"/>
        </w:rPr>
        <w:t xml:space="preserve">9.  Contacts and Escalation</w:t>
      </w:r>
    </w:p>
    <w:p>
      <w:pPr>
        <w:spacing w:after="60" w:before="60"/>
      </w:pPr>
      <w:r>
        <w:rPr>
          <w:rFonts w:ascii="Arial" w:cs="Arial" w:eastAsia="Arial" w:hAnsi="Arial"/>
          <w:b w:val="false"/>
          <w:bCs w:val="false"/>
          <w:i w:val="false"/>
          <w:iCs w:val="false"/>
          <w:color w:val="212121"/>
          <w:sz w:val="20"/>
          <w:szCs w:val="20"/>
        </w:rPr>
        <w:t xml:space="preserve">For questions about specific processes or evidence requests during audit, contact the process owner listed in Section 3. For scope or methodology questions, refer to the SOW (Richard Ng). For governance or sign-off questions, contact the AVP-level approvers on record in the Approvals Document.</w:t>
      </w:r>
    </w:p>
    <w:p>
      <w:pPr>
        <w:spacing w:after="60" w:before="60"/>
      </w:pPr>
    </w:p>
    <w:p>
      <w:pPr>
        <w:spacing w:after="60" w:before="60"/>
      </w:pPr>
      <w:r>
        <w:rPr>
          <w:rFonts w:ascii="Arial" w:cs="Arial" w:eastAsia="Arial" w:hAnsi="Arial"/>
          <w:b w:val="false"/>
          <w:bCs w:val="false"/>
          <w:i/>
          <w:iCs/>
          <w:color w:val="616161"/>
          <w:sz w:val="20"/>
          <w:szCs w:val="20"/>
        </w:rPr>
        <w:t xml:space="preserve">Document maintained by the FCRM Enterprise Risk Assessment Reporting Team. Last updated: April 2026.</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Page </w:t>
    </w:r>
    <w:r>
      <w:rPr>
        <w:rFonts w:ascii="Arial" w:cs="Arial" w:eastAsia="Arial" w:hAnsi="Arial"/>
        <w:color w:val="616161"/>
        <w:sz w:val="16"/>
        <w:szCs w:val="16"/>
      </w:rPr>
      <w:fldChar w:fldCharType="begin"/>
      <w:instrText xml:space="preserve">PAGE</w:instrText>
      <w:fldChar w:fldCharType="separate"/>
      <w:fldChar w:fldCharType="end"/>
    </w:r>
    <w:r>
      <w:rPr>
        <w:rFonts w:ascii="Arial" w:cs="Arial" w:eastAsia="Arial" w:hAnsi="Arial"/>
        <w:color w:val="616161"/>
        <w:sz w:val="16"/>
        <w:szCs w:val="16"/>
      </w:rPr>
      <w:t xml:space="preserve"> of </w:t>
    </w:r>
    <w:r>
      <w:rPr>
        <w:rFonts w:ascii="Arial" w:cs="Arial" w:eastAsia="Arial" w:hAnsi="Arial"/>
        <w:color w:val="616161"/>
        <w:sz w:val="16"/>
        <w:szCs w:val="16"/>
      </w:rPr>
      <w:fldChar w:fldCharType="begin"/>
      <w:instrText xml:space="preserve">NUMPAGES</w:instrText>
      <w:fldChar w:fldCharType="separate"/>
      <w:fldChar w:fldCharType="end"/>
    </w:r>
    <w:r>
      <w:rPr>
        <w:rFonts w:ascii="Arial" w:cs="Arial" w:eastAsia="Arial" w:hAnsi="Arial"/>
        <w:color w:val="616161"/>
        <w:sz w:val="16"/>
        <w:szCs w:val="16"/>
      </w:rPr>
      <w:t xml:space="preserve">  |  FCRM Enterprise Risk Assessment Reporting Team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1B5E20" w:sz="6" w:space="1"/>
            <w:right w:val="none" w:color="FFFFFF" w:sz="0"/>
          </w:tcBorders>
        </w:tcPr>
        <w:p>
          <w:r>
            <w:rPr>
              <w:rFonts w:ascii="Arial" w:cs="Arial" w:eastAsia="Arial" w:hAnsi="Arial"/>
              <w:b/>
              <w:bCs/>
              <w:color w:val="1B5E20"/>
              <w:sz w:val="18"/>
              <w:szCs w:val="18"/>
            </w:rPr>
            <w:t xml:space="preserve">FCRM Risk Assessment FY2025</w:t>
          </w:r>
        </w:p>
      </w:tc>
      <w:tc>
        <w:tcPr>
          <w:tcW w:type="dxa" w:w="4680"/>
          <w:tcBorders>
            <w:top w:val="none" w:color="FFFFFF" w:sz="0"/>
            <w:left w:val="none" w:color="FFFFFF" w:sz="0"/>
            <w:bottom w:val="single" w:color="1B5E20" w:sz="6" w:space="1"/>
            <w:right w:val="none" w:color="FFFFFF" w:sz="0"/>
          </w:tcBorders>
        </w:tcPr>
        <w:p>
          <w:pPr>
            <w:jc w:val="right"/>
          </w:pPr>
          <w:r>
            <w:rPr>
              <w:rFonts w:ascii="Arial" w:cs="Arial" w:eastAsia="Arial" w:hAnsi="Arial"/>
              <w:color w:val="616161"/>
              <w:sz w:val="18"/>
              <w:szCs w:val="18"/>
            </w:rPr>
            <w:t xml:space="preserve">Audit Navigation Guide  |  Internal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5E2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452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2026-04-16T20:21:42.486Z</dcterms:created>
  <dcterms:modified xsi:type="dcterms:W3CDTF">2026-04-16T20:21:42.487Z</dcterms:modified>
</cp:coreProperties>
</file>

<file path=docProps/custom.xml><?xml version="1.0" encoding="utf-8"?>
<Properties xmlns="http://schemas.openxmlformats.org/officeDocument/2006/custom-properties" xmlns:vt="http://schemas.openxmlformats.org/officeDocument/2006/docPropsVTypes"/>
</file>