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760"/>
        <w:tblBorders>
          <w:top w:val="single" w:color="auto" w:sz="4"/>
          <w:left w:val="single" w:color="auto" w:sz="4"/>
          <w:bottom w:val="single" w:color="auto" w:sz="4"/>
          <w:right w:val="single" w:color="auto" w:sz="4"/>
          <w:insideH w:val="single" w:color="auto" w:sz="4"/>
          <w:insideV w:val="single" w:color="auto" w:sz="4"/>
        </w:tblBorders>
      </w:tblPr>
      <w:tblGrid>
        <w:gridCol w:w="760"/>
      </w:tblGrid>
      <w:tr>
        <w:tc>
          <w:tcPr>
            <w:tcW w:type="dxa" w:w="760"/>
            <w:tcBorders>
              <w:top w:val="none"/>
              <w:left w:val="none"/>
              <w:bottom w:val="none"/>
              <w:right w:val="none"/>
            </w:tcBorders>
            <w:shd w:fill="008A3C" w:val="clear"/>
            <w:tcMar>
              <w:top w:type="dxa" w:w="60"/>
              <w:left w:type="dxa" w:w="60"/>
              <w:bottom w:type="dxa" w:w="60"/>
              <w:right w:type="dxa" w:w="60"/>
            </w:tcMar>
            <w:vAlign w:val="center"/>
          </w:tcPr>
          <w:p>
            <w:pPr>
              <w:jc w:val="center"/>
            </w:pPr>
            <w:r>
              <w:rPr>
                <w:rFonts w:ascii="Arial" w:cs="Arial" w:eastAsia="Arial" w:hAnsi="Arial"/>
                <w:b/>
                <w:bCs/>
                <w:color w:val="FFFFFF"/>
                <w:sz w:val="40"/>
                <w:szCs w:val="40"/>
              </w:rPr>
              <w:t xml:space="preserve">TD</w:t>
            </w:r>
          </w:p>
        </w:tc>
      </w:tr>
    </w:tbl>
    <w:p>
      <w:pPr>
        <w:spacing w:after="120"/>
      </w:pPr>
    </w:p>
    <w:p>
      <w:pPr>
        <w:spacing w:after="120" w:before="120"/>
      </w:pPr>
      <w:r>
        <w:rPr>
          <w:rFonts w:ascii="Arial" w:cs="Arial" w:eastAsia="Arial" w:hAnsi="Arial"/>
          <w:b/>
          <w:bCs/>
          <w:color w:val="1E7B34"/>
          <w:sz w:val="30"/>
          <w:szCs w:val="30"/>
        </w:rPr>
        <w:t xml:space="preserve">FCRM – RISK ASSESSMENT FY2025</w:t>
      </w:r>
    </w:p>
    <w:p>
      <w:pPr>
        <w:spacing w:after="120" w:before="120"/>
      </w:pPr>
      <w:r>
        <w:rPr>
          <w:rFonts w:ascii="Arial" w:cs="Arial" w:eastAsia="Arial" w:hAnsi="Arial"/>
          <w:b/>
          <w:bCs/>
          <w:color w:val="1E7B34"/>
          <w:sz w:val="40"/>
          <w:szCs w:val="40"/>
        </w:rPr>
        <w:t xml:space="preserve">Data Sourcing and Lineage for AML Process</w:t>
      </w:r>
    </w:p>
    <w:p>
      <w:pPr>
        <w:spacing w:after="80" w:before="120"/>
      </w:pPr>
      <w:r>
        <w:rPr>
          <w:rFonts w:ascii="Arial" w:cs="Arial" w:eastAsia="Arial" w:hAnsi="Arial"/>
          <w:b/>
          <w:bCs/>
          <w:sz w:val="26"/>
          <w:szCs w:val="26"/>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3F2E6" w:val="clear"/>
            <w:tcMar>
              <w:top w:type="dxa" w:w="60"/>
              <w:left w:type="dxa" w:w="120"/>
              <w:bottom w:type="dxa" w:w="60"/>
              <w:right w:type="dxa" w:w="120"/>
            </w:tcMar>
          </w:tcPr>
          <w:p>
            <w:pPr>
              <w:jc w:val="center"/>
            </w:pPr>
            <w:r>
              <w:rPr>
                <w:rFonts w:ascii="Arial" w:cs="Arial" w:eastAsia="Arial" w:hAnsi="Arial"/>
                <w:b/>
                <w:bCs/>
                <w:color w:val="145214"/>
                <w:sz w:val="21"/>
                <w:szCs w:val="21"/>
              </w:rPr>
              <w:t xml:space="preserve">Attribute</w:t>
            </w:r>
          </w:p>
        </w:tc>
        <w:tc>
          <w:tcPr>
            <w:tcW w:type="dxa" w:w="6760"/>
            <w:tcBorders>
              <w:top w:val="single" w:color="BFBFBF" w:sz="4"/>
              <w:left w:val="single" w:color="BFBFBF" w:sz="4"/>
              <w:bottom w:val="single" w:color="BFBFBF" w:sz="4"/>
              <w:right w:val="single" w:color="BFBFBF" w:sz="4"/>
            </w:tcBorders>
            <w:shd w:fill="E3F2E6" w:val="clear"/>
            <w:tcMar>
              <w:top w:type="dxa" w:w="60"/>
              <w:left w:type="dxa" w:w="120"/>
              <w:bottom w:type="dxa" w:w="60"/>
              <w:right w:type="dxa" w:w="120"/>
            </w:tcMar>
          </w:tcPr>
          <w:p>
            <w:pPr>
              <w:jc w:val="center"/>
            </w:pPr>
            <w:r>
              <w:rPr>
                <w:rFonts w:ascii="Arial" w:cs="Arial" w:eastAsia="Arial" w:hAnsi="Arial"/>
                <w:b/>
                <w:bCs/>
                <w:color w:val="145214"/>
                <w:sz w:val="21"/>
                <w:szCs w:val="21"/>
              </w:rPr>
              <w:t xml:space="preserve">Detail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b/>
                <w:bCs/>
                <w:sz w:val="21"/>
                <w:szCs w:val="21"/>
              </w:rPr>
              <w:t xml:space="preserve">Document Title</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1"/>
                <w:szCs w:val="21"/>
              </w:rPr>
              <w:t xml:space="preserve">ML/TF and Sanctions Risk Assessment: Data Sourcing and Lineage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b/>
                <w:bCs/>
                <w:sz w:val="21"/>
                <w:szCs w:val="21"/>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1"/>
                <w:szCs w:val="21"/>
              </w:rPr>
              <w:t xml:space="preserve">FCRM Enterprise Risk Assessment Reporting Team</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b/>
                <w:bCs/>
                <w:sz w:val="21"/>
                <w:szCs w:val="21"/>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1"/>
                <w:szCs w:val="21"/>
              </w:rPr>
              <w:t xml:space="preserve">April 2026</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b/>
                <w:bCs/>
                <w:sz w:val="21"/>
                <w:szCs w:val="21"/>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1"/>
                <w:szCs w:val="21"/>
              </w:rPr>
              <w:t xml:space="preserve">2.2 (Current Practices Focus)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b/>
                <w:bCs/>
                <w:sz w:val="21"/>
                <w:szCs w:val="21"/>
              </w:rPr>
              <w:t xml:space="preserve">Target Audience</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1"/>
                <w:szCs w:val="21"/>
              </w:rPr>
              <w:t xml:space="preserve">1LOD, 2LOD, 3LOD (Internal Audit), and Regulatory Reviewers</w:t>
            </w:r>
          </w:p>
        </w:tc>
      </w:tr>
    </w:tbl>
    <w:p>
      <w:pPr>
        <w:pStyle w:val="Heading1"/>
        <w:spacing w:after="120" w:before="260"/>
      </w:pPr>
      <w:r>
        <w:rPr>
          <w:rFonts w:ascii="Arial" w:cs="Arial" w:eastAsia="Arial" w:hAnsi="Arial"/>
          <w:b/>
          <w:bCs/>
          <w:color w:val="000000"/>
          <w:sz w:val="30"/>
          <w:szCs w:val="30"/>
        </w:rPr>
        <w:t xml:space="preserve">1.  Purpose (of this document)</w:t>
      </w:r>
    </w:p>
    <w:p>
      <w:pPr>
        <w:spacing w:after="120"/>
      </w:pPr>
      <w:r>
        <w:rPr>
          <w:rFonts w:ascii="Arial" w:cs="Arial" w:eastAsia="Arial" w:hAnsi="Arial"/>
          <w:sz w:val="21"/>
          <w:szCs w:val="21"/>
        </w:rPr>
        <w:t xml:space="preserve">This SOP outlines the Data Sourcing and Lineage for the FY25 Anti-Money Laundering (AML) and Sanctions Enterprise Risk Assessment process. Adherence to the process ensures that Source Identification, Access Enablement, Data Extraction, Data Understanding, Lineage Documentation and Data Retention are accurate, transparent, auditable, and formally approved.</w:t>
      </w:r>
    </w:p>
    <w:p>
      <w:pPr>
        <w:pStyle w:val="Heading1"/>
        <w:spacing w:after="120" w:before="260"/>
      </w:pPr>
      <w:r>
        <w:rPr>
          <w:rFonts w:ascii="Arial" w:cs="Arial" w:eastAsia="Arial" w:hAnsi="Arial"/>
          <w:b/>
          <w:bCs/>
          <w:color w:val="000000"/>
          <w:sz w:val="30"/>
          <w:szCs w:val="30"/>
        </w:rPr>
        <w:t xml:space="preserve">2.  Scope (of this document)</w:t>
      </w:r>
    </w:p>
    <w:p>
      <w:pPr>
        <w:spacing w:after="120"/>
      </w:pPr>
      <w:r>
        <w:rPr>
          <w:rFonts w:ascii="Arial" w:cs="Arial" w:eastAsia="Arial" w:hAnsi="Arial"/>
          <w:sz w:val="21"/>
          <w:szCs w:val="21"/>
        </w:rPr>
        <w:t xml:space="preserve">This document covers all Data Sourcing and Lineage steps performed by the Risk Assessment MCC Team for the FY2025 risk assessment project. It includes Source Identification, Access Enablement, Data Extraction, Data Understanding, Lineage Documentation and Data Retention.</w:t>
      </w:r>
    </w:p>
    <w:p>
      <w:pPr>
        <w:pStyle w:val="Heading1"/>
        <w:spacing w:after="120" w:before="260"/>
      </w:pPr>
      <w:r>
        <w:rPr>
          <w:rFonts w:ascii="Arial" w:cs="Arial" w:eastAsia="Arial" w:hAnsi="Arial"/>
          <w:b/>
          <w:bCs/>
          <w:color w:val="000000"/>
          <w:sz w:val="30"/>
          <w:szCs w:val="30"/>
        </w:rPr>
        <w:t xml:space="preserve">Process Steps</w:t>
      </w:r>
    </w:p>
    <w:p>
      <w:pPr>
        <w:pStyle w:val="Heading2"/>
        <w:spacing w:after="80" w:before="200"/>
      </w:pPr>
      <w:r>
        <w:rPr>
          <w:rFonts w:ascii="Arial" w:cs="Arial" w:eastAsia="Arial" w:hAnsi="Arial"/>
          <w:b/>
          <w:bCs/>
          <w:color w:val="000000"/>
          <w:sz w:val="26"/>
          <w:szCs w:val="26"/>
        </w:rPr>
        <w:t xml:space="preserve">1.  Source Identification</w:t>
      </w:r>
    </w:p>
    <w:p>
      <w:pPr>
        <w:spacing w:after="40" w:before="100"/>
      </w:pPr>
      <w:r>
        <w:rPr>
          <w:rFonts w:ascii="Arial" w:cs="Arial" w:eastAsia="Arial" w:hAnsi="Arial"/>
          <w:b/>
          <w:bCs/>
          <w:sz w:val="22"/>
          <w:szCs w:val="22"/>
        </w:rPr>
        <w:t xml:space="preserve">Objective</w:t>
      </w:r>
    </w:p>
    <w:p>
      <w:pPr>
        <w:spacing w:after="120"/>
      </w:pPr>
      <w:r>
        <w:rPr>
          <w:rFonts w:ascii="Arial" w:cs="Arial" w:eastAsia="Arial" w:hAnsi="Arial"/>
          <w:sz w:val="21"/>
          <w:szCs w:val="21"/>
        </w:rPr>
        <w:t xml:space="preserve">Obtain Business requirements, metric definitions and SOW.</w:t>
      </w:r>
    </w:p>
    <w:p>
      <w:pPr>
        <w:spacing w:after="40" w:before="100"/>
      </w:pPr>
      <w:r>
        <w:rPr>
          <w:rFonts w:ascii="Arial" w:cs="Arial" w:eastAsia="Arial" w:hAnsi="Arial"/>
          <w:b/>
          <w:bCs/>
          <w:sz w:val="22"/>
          <w:szCs w:val="22"/>
        </w:rPr>
        <w:t xml:space="preserve">Steps</w:t>
      </w:r>
    </w:p>
    <w:p>
      <w:pPr>
        <w:pStyle w:val="ListParagraph"/>
        <w:numPr>
          <w:ilvl w:val="0"/>
          <w:numId w:val="2"/>
        </w:numPr>
        <w:spacing w:after="40"/>
      </w:pPr>
      <w:r>
        <w:rPr>
          <w:rFonts w:ascii="Arial" w:cs="Arial" w:eastAsia="Arial" w:hAnsi="Arial"/>
          <w:sz w:val="21"/>
          <w:szCs w:val="21"/>
        </w:rPr>
        <w:t xml:space="preserve">Review business and regulatory requirements.</w:t>
      </w:r>
    </w:p>
    <w:p>
      <w:pPr>
        <w:pStyle w:val="ListParagraph"/>
        <w:numPr>
          <w:ilvl w:val="0"/>
          <w:numId w:val="2"/>
        </w:numPr>
        <w:spacing w:after="40"/>
      </w:pPr>
      <w:r>
        <w:rPr>
          <w:rFonts w:ascii="Arial" w:cs="Arial" w:eastAsia="Arial" w:hAnsi="Arial"/>
          <w:sz w:val="21"/>
          <w:szCs w:val="21"/>
        </w:rPr>
        <w:t xml:space="preserve">Create Master_Data_source_FY2025.xlsx to identify all relevant data sources per metric.</w:t>
      </w:r>
    </w:p>
    <w:p>
      <w:pPr>
        <w:pStyle w:val="ListParagraph"/>
        <w:numPr>
          <w:ilvl w:val="0"/>
          <w:numId w:val="2"/>
        </w:numPr>
        <w:spacing w:after="40"/>
      </w:pPr>
      <w:r>
        <w:rPr>
          <w:rFonts w:ascii="Arial" w:cs="Arial" w:eastAsia="Arial" w:hAnsi="Arial"/>
          <w:sz w:val="21"/>
          <w:szCs w:val="21"/>
        </w:rPr>
        <w:t xml:space="preserve">Collaborate with business stakeholders.</w:t>
      </w:r>
    </w:p>
    <w:p>
      <w:pPr>
        <w:pStyle w:val="ListParagraph"/>
        <w:numPr>
          <w:ilvl w:val="0"/>
          <w:numId w:val="2"/>
        </w:numPr>
        <w:spacing w:after="40"/>
      </w:pPr>
      <w:r>
        <w:rPr>
          <w:rFonts w:ascii="Arial" w:cs="Arial" w:eastAsia="Arial" w:hAnsi="Arial"/>
          <w:sz w:val="21"/>
          <w:szCs w:val="21"/>
        </w:rPr>
        <w:t xml:space="preserve">Document system names, tables, owners, data attributes.</w:t>
      </w:r>
    </w:p>
    <w:p>
      <w:pPr>
        <w:spacing w:after="40" w:before="100"/>
      </w:pPr>
      <w:r>
        <w:rPr>
          <w:rFonts w:ascii="Arial" w:cs="Arial" w:eastAsia="Arial" w:hAnsi="Arial"/>
          <w:b/>
          <w:bCs/>
          <w:sz w:val="22"/>
          <w:szCs w:val="22"/>
        </w:rPr>
        <w:t xml:space="preserve">Artifacts</w:t>
      </w:r>
    </w:p>
    <w:p>
      <w:pPr>
        <w:spacing w:after="60"/>
      </w:pPr>
      <w:r>
        <w:rPr>
          <w:rFonts w:ascii="Arial" w:cs="Arial" w:eastAsia="Arial" w:hAnsi="Arial"/>
          <w:color w:val="1155CC"/>
          <w:sz w:val="21"/>
          <w:szCs w:val="21"/>
          <w:u w:val="single"/>
        </w:rPr>
        <w:t xml:space="preserve">Master_Data_source_FY2025_Segment.xlsx</w:t>
      </w:r>
    </w:p>
    <w:p>
      <w:pPr>
        <w:pStyle w:val="Heading2"/>
        <w:spacing w:after="80" w:before="200"/>
      </w:pPr>
      <w:r>
        <w:rPr>
          <w:rFonts w:ascii="Arial" w:cs="Arial" w:eastAsia="Arial" w:hAnsi="Arial"/>
          <w:b/>
          <w:bCs/>
          <w:color w:val="000000"/>
          <w:sz w:val="26"/>
          <w:szCs w:val="26"/>
        </w:rPr>
        <w:t xml:space="preserve">2.  Access Enablement</w:t>
      </w:r>
    </w:p>
    <w:p>
      <w:pPr>
        <w:spacing w:after="40" w:before="100"/>
      </w:pPr>
      <w:r>
        <w:rPr>
          <w:rFonts w:ascii="Arial" w:cs="Arial" w:eastAsia="Arial" w:hAnsi="Arial"/>
          <w:b/>
          <w:bCs/>
          <w:sz w:val="22"/>
          <w:szCs w:val="22"/>
        </w:rPr>
        <w:t xml:space="preserve">Objective</w:t>
      </w:r>
    </w:p>
    <w:p>
      <w:pPr>
        <w:spacing w:after="120"/>
      </w:pPr>
      <w:r>
        <w:rPr>
          <w:rFonts w:ascii="Arial" w:cs="Arial" w:eastAsia="Arial" w:hAnsi="Arial"/>
          <w:sz w:val="21"/>
          <w:szCs w:val="21"/>
        </w:rPr>
        <w:t xml:space="preserve">Identified data sources; obtain organizational PIA guidelines.</w:t>
      </w:r>
    </w:p>
    <w:p>
      <w:pPr>
        <w:spacing w:after="40" w:before="100"/>
      </w:pPr>
      <w:r>
        <w:rPr>
          <w:rFonts w:ascii="Arial" w:cs="Arial" w:eastAsia="Arial" w:hAnsi="Arial"/>
          <w:b/>
          <w:bCs/>
          <w:sz w:val="22"/>
          <w:szCs w:val="22"/>
        </w:rPr>
        <w:t xml:space="preserve">Steps</w:t>
      </w:r>
    </w:p>
    <w:p>
      <w:pPr>
        <w:pStyle w:val="ListParagraph"/>
        <w:numPr>
          <w:ilvl w:val="0"/>
          <w:numId w:val="2"/>
        </w:numPr>
        <w:spacing w:after="40"/>
      </w:pPr>
      <w:r>
        <w:rPr>
          <w:rFonts w:ascii="Arial" w:cs="Arial" w:eastAsia="Arial" w:hAnsi="Arial"/>
          <w:sz w:val="21"/>
          <w:szCs w:val="21"/>
        </w:rPr>
        <w:t xml:space="preserve">Initiate Privacy Impact Assessment (PIA) process for each data source.</w:t>
      </w:r>
    </w:p>
    <w:p>
      <w:pPr>
        <w:pStyle w:val="ListParagraph"/>
        <w:numPr>
          <w:ilvl w:val="0"/>
          <w:numId w:val="2"/>
        </w:numPr>
        <w:spacing w:after="40"/>
      </w:pPr>
      <w:r>
        <w:rPr>
          <w:rFonts w:ascii="Arial" w:cs="Arial" w:eastAsia="Arial" w:hAnsi="Arial"/>
          <w:sz w:val="21"/>
          <w:szCs w:val="21"/>
        </w:rPr>
        <w:t xml:space="preserve">Submit access requests.</w:t>
      </w:r>
    </w:p>
    <w:p>
      <w:pPr>
        <w:pStyle w:val="ListParagraph"/>
        <w:numPr>
          <w:ilvl w:val="0"/>
          <w:numId w:val="2"/>
        </w:numPr>
        <w:spacing w:after="40"/>
      </w:pPr>
      <w:r>
        <w:rPr>
          <w:rFonts w:ascii="Arial" w:cs="Arial" w:eastAsia="Arial" w:hAnsi="Arial"/>
          <w:sz w:val="21"/>
          <w:szCs w:val="21"/>
        </w:rPr>
        <w:t xml:space="preserve">Track and follow up on access approvals.</w:t>
      </w:r>
    </w:p>
    <w:p>
      <w:pPr>
        <w:pStyle w:val="ListParagraph"/>
        <w:numPr>
          <w:ilvl w:val="0"/>
          <w:numId w:val="2"/>
        </w:numPr>
        <w:spacing w:after="40"/>
      </w:pPr>
      <w:r>
        <w:rPr>
          <w:rFonts w:ascii="Arial" w:cs="Arial" w:eastAsia="Arial" w:hAnsi="Arial"/>
          <w:sz w:val="21"/>
          <w:szCs w:val="21"/>
        </w:rPr>
        <w:t xml:space="preserve">Maintain records of all access permissions and compliance checks.</w:t>
      </w:r>
    </w:p>
    <w:p>
      <w:pPr>
        <w:spacing w:after="40" w:before="100"/>
      </w:pPr>
      <w:r>
        <w:rPr>
          <w:rFonts w:ascii="Arial" w:cs="Arial" w:eastAsia="Arial" w:hAnsi="Arial"/>
          <w:b/>
          <w:bCs/>
          <w:sz w:val="22"/>
          <w:szCs w:val="22"/>
        </w:rPr>
        <w:t xml:space="preserve">Artifacts</w:t>
      </w:r>
    </w:p>
    <w:p>
      <w:pPr>
        <w:spacing w:after="60"/>
      </w:pPr>
      <w:r>
        <w:rPr>
          <w:rFonts w:ascii="Arial" w:cs="Arial" w:eastAsia="Arial" w:hAnsi="Arial"/>
          <w:color w:val="1155CC"/>
          <w:sz w:val="21"/>
          <w:szCs w:val="21"/>
          <w:u w:val="single"/>
        </w:rPr>
        <w:t xml:space="preserve">2025 PIA Approval Emails</w:t>
      </w:r>
    </w:p>
    <w:p>
      <w:pPr>
        <w:pStyle w:val="Heading2"/>
        <w:spacing w:after="80" w:before="200"/>
      </w:pPr>
      <w:r>
        <w:rPr>
          <w:rFonts w:ascii="Arial" w:cs="Arial" w:eastAsia="Arial" w:hAnsi="Arial"/>
          <w:b/>
          <w:bCs/>
          <w:color w:val="000000"/>
          <w:sz w:val="26"/>
          <w:szCs w:val="26"/>
        </w:rPr>
        <w:t xml:space="preserve">3.  Data Extraction</w:t>
      </w:r>
    </w:p>
    <w:p>
      <w:pPr>
        <w:spacing w:after="40" w:before="100"/>
      </w:pPr>
      <w:r>
        <w:rPr>
          <w:rFonts w:ascii="Arial" w:cs="Arial" w:eastAsia="Arial" w:hAnsi="Arial"/>
          <w:b/>
          <w:bCs/>
          <w:sz w:val="22"/>
          <w:szCs w:val="22"/>
        </w:rPr>
        <w:t xml:space="preserve">Objective</w:t>
      </w:r>
    </w:p>
    <w:p>
      <w:pPr>
        <w:spacing w:after="120"/>
      </w:pPr>
      <w:r>
        <w:rPr>
          <w:rFonts w:ascii="Arial" w:cs="Arial" w:eastAsia="Arial" w:hAnsi="Arial"/>
          <w:sz w:val="21"/>
          <w:szCs w:val="21"/>
        </w:rPr>
        <w:t xml:space="preserve">Provided approved access credentials; update Master Data Source Sheet.</w:t>
      </w:r>
    </w:p>
    <w:p>
      <w:pPr>
        <w:spacing w:after="40" w:before="100"/>
      </w:pPr>
      <w:r>
        <w:rPr>
          <w:rFonts w:ascii="Arial" w:cs="Arial" w:eastAsia="Arial" w:hAnsi="Arial"/>
          <w:b/>
          <w:bCs/>
          <w:sz w:val="22"/>
          <w:szCs w:val="22"/>
        </w:rPr>
        <w:t xml:space="preserve">Steps</w:t>
      </w:r>
    </w:p>
    <w:p>
      <w:pPr>
        <w:pStyle w:val="ListParagraph"/>
        <w:numPr>
          <w:ilvl w:val="0"/>
          <w:numId w:val="2"/>
        </w:numPr>
        <w:spacing w:after="40"/>
      </w:pPr>
      <w:r>
        <w:rPr>
          <w:rFonts w:ascii="Arial" w:cs="Arial" w:eastAsia="Arial" w:hAnsi="Arial"/>
          <w:sz w:val="21"/>
          <w:szCs w:val="21"/>
        </w:rPr>
        <w:t xml:space="preserve">Use approved credentials to connect to Rahona (20 sources) and ADIDO (73 sources).</w:t>
      </w:r>
    </w:p>
    <w:p>
      <w:pPr>
        <w:pStyle w:val="ListParagraph"/>
        <w:numPr>
          <w:ilvl w:val="0"/>
          <w:numId w:val="2"/>
        </w:numPr>
        <w:spacing w:after="40"/>
      </w:pPr>
      <w:r>
        <w:rPr>
          <w:rFonts w:ascii="Arial" w:cs="Arial" w:eastAsia="Arial" w:hAnsi="Arial"/>
          <w:sz w:val="21"/>
          <w:szCs w:val="21"/>
        </w:rPr>
        <w:t xml:space="preserve">Extract relevant data fields per requirements.</w:t>
      </w:r>
    </w:p>
    <w:p>
      <w:pPr>
        <w:pStyle w:val="ListParagraph"/>
        <w:numPr>
          <w:ilvl w:val="0"/>
          <w:numId w:val="2"/>
        </w:numPr>
        <w:spacing w:after="40"/>
      </w:pPr>
      <w:r>
        <w:rPr>
          <w:rFonts w:ascii="Arial" w:cs="Arial" w:eastAsia="Arial" w:hAnsi="Arial"/>
          <w:sz w:val="21"/>
          <w:szCs w:val="21"/>
        </w:rPr>
        <w:t xml:space="preserve">Store in CA AZ.</w:t>
      </w:r>
    </w:p>
    <w:p>
      <w:pPr>
        <w:pStyle w:val="ListParagraph"/>
        <w:numPr>
          <w:ilvl w:val="0"/>
          <w:numId w:val="2"/>
        </w:numPr>
        <w:spacing w:after="40"/>
      </w:pPr>
      <w:r>
        <w:rPr>
          <w:rFonts w:ascii="Arial" w:cs="Arial" w:eastAsia="Arial" w:hAnsi="Arial"/>
          <w:sz w:val="21"/>
          <w:szCs w:val="21"/>
        </w:rPr>
        <w:t xml:space="preserve">Validate integrity and completeness post-extraction.</w:t>
      </w:r>
    </w:p>
    <w:p>
      <w:pPr>
        <w:spacing w:after="40" w:before="100"/>
      </w:pPr>
      <w:r>
        <w:rPr>
          <w:rFonts w:ascii="Arial" w:cs="Arial" w:eastAsia="Arial" w:hAnsi="Arial"/>
          <w:b/>
          <w:bCs/>
          <w:sz w:val="22"/>
          <w:szCs w:val="22"/>
        </w:rPr>
        <w:t xml:space="preserve">Artifacts</w:t>
      </w:r>
    </w:p>
    <w:p>
      <w:pPr>
        <w:spacing w:after="60"/>
      </w:pPr>
      <w:r>
        <w:rPr>
          <w:rFonts w:ascii="Arial" w:cs="Arial" w:eastAsia="Arial" w:hAnsi="Arial"/>
          <w:color w:val="1155CC"/>
          <w:sz w:val="21"/>
          <w:szCs w:val="21"/>
          <w:u w:val="single"/>
        </w:rPr>
        <w:t xml:space="preserve">2025 ADIDO Load Files</w:t>
      </w:r>
    </w:p>
    <w:p>
      <w:pPr>
        <w:pStyle w:val="Heading2"/>
        <w:spacing w:after="80" w:before="200"/>
      </w:pPr>
      <w:r>
        <w:rPr>
          <w:rFonts w:ascii="Arial" w:cs="Arial" w:eastAsia="Arial" w:hAnsi="Arial"/>
          <w:b/>
          <w:bCs/>
          <w:color w:val="000000"/>
          <w:sz w:val="26"/>
          <w:szCs w:val="26"/>
        </w:rPr>
        <w:t xml:space="preserve">4.  Data Understanding</w:t>
      </w:r>
    </w:p>
    <w:p>
      <w:pPr>
        <w:spacing w:after="40" w:before="100"/>
      </w:pPr>
      <w:r>
        <w:rPr>
          <w:rFonts w:ascii="Arial" w:cs="Arial" w:eastAsia="Arial" w:hAnsi="Arial"/>
          <w:b/>
          <w:bCs/>
          <w:sz w:val="22"/>
          <w:szCs w:val="22"/>
        </w:rPr>
        <w:t xml:space="preserve">Objective</w:t>
      </w:r>
    </w:p>
    <w:p>
      <w:pPr>
        <w:spacing w:after="120"/>
      </w:pPr>
      <w:r>
        <w:rPr>
          <w:rFonts w:ascii="Arial" w:cs="Arial" w:eastAsia="Arial" w:hAnsi="Arial"/>
          <w:sz w:val="21"/>
          <w:szCs w:val="21"/>
        </w:rPr>
        <w:t xml:space="preserve">Provide extracted datasets in CA AZ.</w:t>
      </w:r>
    </w:p>
    <w:p>
      <w:pPr>
        <w:spacing w:after="40" w:before="100"/>
      </w:pPr>
      <w:r>
        <w:rPr>
          <w:rFonts w:ascii="Arial" w:cs="Arial" w:eastAsia="Arial" w:hAnsi="Arial"/>
          <w:b/>
          <w:bCs/>
          <w:sz w:val="22"/>
          <w:szCs w:val="22"/>
        </w:rPr>
        <w:t xml:space="preserve">Steps</w:t>
      </w:r>
    </w:p>
    <w:p>
      <w:pPr>
        <w:pStyle w:val="ListParagraph"/>
        <w:numPr>
          <w:ilvl w:val="0"/>
          <w:numId w:val="2"/>
        </w:numPr>
        <w:spacing w:after="40"/>
      </w:pPr>
      <w:r>
        <w:rPr>
          <w:rFonts w:ascii="Arial" w:cs="Arial" w:eastAsia="Arial" w:hAnsi="Arial"/>
          <w:sz w:val="21"/>
          <w:szCs w:val="21"/>
        </w:rPr>
        <w:t xml:space="preserve">Create database views or data models.</w:t>
      </w:r>
    </w:p>
    <w:p>
      <w:pPr>
        <w:pStyle w:val="ListParagraph"/>
        <w:numPr>
          <w:ilvl w:val="0"/>
          <w:numId w:val="2"/>
        </w:numPr>
        <w:spacing w:after="40"/>
      </w:pPr>
      <w:r>
        <w:rPr>
          <w:rFonts w:ascii="Arial" w:cs="Arial" w:eastAsia="Arial" w:hAnsi="Arial"/>
          <w:sz w:val="21"/>
          <w:szCs w:val="21"/>
        </w:rPr>
        <w:t xml:space="preserve">Profile datasets for completeness, accuracy, and consistency.</w:t>
      </w:r>
    </w:p>
    <w:p>
      <w:pPr>
        <w:pStyle w:val="ListParagraph"/>
        <w:numPr>
          <w:ilvl w:val="0"/>
          <w:numId w:val="2"/>
        </w:numPr>
        <w:spacing w:after="40"/>
      </w:pPr>
      <w:r>
        <w:rPr>
          <w:rFonts w:ascii="Arial" w:cs="Arial" w:eastAsia="Arial" w:hAnsi="Arial"/>
          <w:sz w:val="21"/>
          <w:szCs w:val="21"/>
        </w:rPr>
        <w:t xml:space="preserve">Document data definitions, data types, and key attributes.</w:t>
      </w:r>
    </w:p>
    <w:p>
      <w:pPr>
        <w:pStyle w:val="ListParagraph"/>
        <w:numPr>
          <w:ilvl w:val="0"/>
          <w:numId w:val="2"/>
        </w:numPr>
        <w:spacing w:after="40"/>
      </w:pPr>
      <w:r>
        <w:rPr>
          <w:rFonts w:ascii="Arial" w:cs="Arial" w:eastAsia="Arial" w:hAnsi="Arial"/>
          <w:sz w:val="21"/>
          <w:szCs w:val="21"/>
        </w:rPr>
        <w:t xml:space="preserve">Identify and address data quality issues.</w:t>
      </w:r>
    </w:p>
    <w:p>
      <w:pPr>
        <w:spacing w:after="40" w:before="100"/>
      </w:pPr>
      <w:r>
        <w:rPr>
          <w:rFonts w:ascii="Arial" w:cs="Arial" w:eastAsia="Arial" w:hAnsi="Arial"/>
          <w:b/>
          <w:bCs/>
          <w:sz w:val="22"/>
          <w:szCs w:val="22"/>
        </w:rPr>
        <w:t xml:space="preserve">Artifacts</w:t>
      </w:r>
    </w:p>
    <w:p>
      <w:pPr>
        <w:spacing w:after="60"/>
      </w:pPr>
      <w:r>
        <w:rPr>
          <w:rFonts w:ascii="Arial" w:cs="Arial" w:eastAsia="Arial" w:hAnsi="Arial"/>
          <w:color w:val="1155CC"/>
          <w:sz w:val="21"/>
          <w:szCs w:val="21"/>
          <w:u w:val="single"/>
        </w:rPr>
        <w:t xml:space="preserve">2025 Approved Metadata Templates</w:t>
      </w:r>
    </w:p>
    <w:p>
      <w:pPr>
        <w:pStyle w:val="Heading2"/>
        <w:spacing w:after="80" w:before="200"/>
      </w:pPr>
      <w:r>
        <w:rPr>
          <w:rFonts w:ascii="Arial" w:cs="Arial" w:eastAsia="Arial" w:hAnsi="Arial"/>
          <w:b/>
          <w:bCs/>
          <w:color w:val="000000"/>
          <w:sz w:val="26"/>
          <w:szCs w:val="26"/>
        </w:rPr>
        <w:t xml:space="preserve">5.  Data Lineage</w:t>
      </w:r>
    </w:p>
    <w:p>
      <w:pPr>
        <w:spacing w:after="120"/>
      </w:pPr>
      <w:r>
        <w:rPr>
          <w:rFonts w:ascii="Arial" w:cs="Arial" w:eastAsia="Arial" w:hAnsi="Arial"/>
          <w:sz w:val="21"/>
          <w:szCs w:val="21"/>
        </w:rPr>
        <w:t xml:space="preserve">Data lineage is a core quality control. Every metric must have a documented lineage record that traces the full data path, and validation confirms that the record is complete, resolvable, and consistent with what was executed.</w:t>
      </w:r>
    </w:p>
    <w:p>
      <w:pPr>
        <w:spacing w:after="40" w:before="100"/>
      </w:pPr>
      <w:r>
        <w:rPr>
          <w:rFonts w:ascii="Arial" w:cs="Arial" w:eastAsia="Arial" w:hAnsi="Arial"/>
          <w:b/>
          <w:bCs/>
          <w:sz w:val="22"/>
          <w:szCs w:val="22"/>
        </w:rPr>
        <w:t xml:space="preserve">5.1  What the lineage record contains</w:t>
      </w:r>
    </w:p>
    <w:p>
      <w:pPr>
        <w:spacing w:after="120"/>
      </w:pPr>
      <w:r>
        <w:rPr>
          <w:rFonts w:ascii="Arial" w:cs="Arial" w:eastAsia="Arial" w:hAnsi="Arial"/>
          <w:sz w:val="21"/>
          <w:szCs w:val="21"/>
        </w:rPr>
        <w:t xml:space="preserve">For each metric, the lineage record documents:</w:t>
      </w:r>
    </w:p>
    <w:p>
      <w:pPr>
        <w:pStyle w:val="ListParagraph"/>
        <w:numPr>
          <w:ilvl w:val="0"/>
          <w:numId w:val="2"/>
        </w:numPr>
        <w:spacing w:after="40"/>
      </w:pPr>
      <w:r>
        <w:rPr>
          <w:rFonts w:ascii="Arial" w:cs="Arial" w:eastAsia="Arial" w:hAnsi="Arial"/>
          <w:sz w:val="21"/>
          <w:szCs w:val="21"/>
        </w:rPr>
        <w:t xml:space="preserve">The source systems and databases the metric draws from.</w:t>
      </w:r>
    </w:p>
    <w:p>
      <w:pPr>
        <w:pStyle w:val="ListParagraph"/>
        <w:numPr>
          <w:ilvl w:val="0"/>
          <w:numId w:val="2"/>
        </w:numPr>
        <w:spacing w:after="40"/>
      </w:pPr>
      <w:r>
        <w:rPr>
          <w:rFonts w:ascii="Arial" w:cs="Arial" w:eastAsia="Arial" w:hAnsi="Arial"/>
          <w:sz w:val="21"/>
          <w:szCs w:val="21"/>
        </w:rPr>
        <w:t xml:space="preserve">The step-by-step transformation logic (filters, joins, derivations).</w:t>
      </w:r>
    </w:p>
    <w:p>
      <w:pPr>
        <w:pStyle w:val="ListParagraph"/>
        <w:numPr>
          <w:ilvl w:val="0"/>
          <w:numId w:val="2"/>
        </w:numPr>
        <w:spacing w:after="40"/>
      </w:pPr>
      <w:r>
        <w:rPr>
          <w:rFonts w:ascii="Arial" w:cs="Arial" w:eastAsia="Arial" w:hAnsi="Arial"/>
          <w:sz w:val="21"/>
          <w:szCs w:val="21"/>
        </w:rPr>
        <w:t xml:space="preserve">References to shared reference / intermediate assets (for example cost-centre mappings, country risk ratings, occupation/industry reference lists, PEP lists).</w:t>
      </w:r>
    </w:p>
    <w:p>
      <w:pPr>
        <w:pStyle w:val="ListParagraph"/>
        <w:numPr>
          <w:ilvl w:val="0"/>
          <w:numId w:val="2"/>
        </w:numPr>
        <w:spacing w:after="40"/>
      </w:pPr>
      <w:r>
        <w:rPr>
          <w:rFonts w:ascii="Arial" w:cs="Arial" w:eastAsia="Arial" w:hAnsi="Arial"/>
          <w:sz w:val="21"/>
          <w:szCs w:val="21"/>
        </w:rPr>
        <w:t xml:space="preserve">Query references.</w:t>
      </w:r>
    </w:p>
    <w:p>
      <w:pPr>
        <w:pStyle w:val="ListParagraph"/>
        <w:numPr>
          <w:ilvl w:val="0"/>
          <w:numId w:val="2"/>
        </w:numPr>
        <w:spacing w:after="40"/>
      </w:pPr>
      <w:r>
        <w:rPr>
          <w:rFonts w:ascii="Arial" w:cs="Arial" w:eastAsia="Arial" w:hAnsi="Arial"/>
          <w:sz w:val="21"/>
          <w:szCs w:val="21"/>
        </w:rPr>
        <w:t xml:space="preserve">The data-quality implementation for the metric's CDEs.</w:t>
      </w:r>
    </w:p>
    <w:p>
      <w:pPr>
        <w:spacing w:after="40" w:before="100"/>
      </w:pPr>
      <w:r>
        <w:rPr>
          <w:rFonts w:ascii="Arial" w:cs="Arial" w:eastAsia="Arial" w:hAnsi="Arial"/>
          <w:b/>
          <w:bCs/>
          <w:sz w:val="22"/>
          <w:szCs w:val="22"/>
        </w:rPr>
        <w:t xml:space="preserve">5.2  Lineage rules</w:t>
      </w:r>
    </w:p>
    <w:p>
      <w:pPr>
        <w:pStyle w:val="ListParagraph"/>
        <w:numPr>
          <w:ilvl w:val="0"/>
          <w:numId w:val="2"/>
        </w:numPr>
        <w:spacing w:after="40"/>
      </w:pPr>
      <w:r>
        <w:rPr>
          <w:rFonts w:ascii="Arial" w:cs="Arial" w:eastAsia="Arial" w:hAnsi="Arial"/>
          <w:b/>
          <w:bCs/>
          <w:sz w:val="21"/>
          <w:szCs w:val="21"/>
        </w:rPr>
        <w:t xml:space="preserve">One lineage record per metric.</w:t>
      </w:r>
      <w:r>
        <w:rPr>
          <w:rFonts w:ascii="Arial" w:cs="Arial" w:eastAsia="Arial" w:hAnsi="Arial"/>
          <w:sz w:val="21"/>
          <w:szCs w:val="21"/>
        </w:rPr>
        <w:t xml:space="preserve"> A variant that sources or transforms differently from its base metric maintains its own lineage record.</w:t>
      </w:r>
    </w:p>
    <w:p>
      <w:pPr>
        <w:pStyle w:val="ListParagraph"/>
        <w:numPr>
          <w:ilvl w:val="0"/>
          <w:numId w:val="2"/>
        </w:numPr>
        <w:spacing w:after="40"/>
      </w:pPr>
      <w:r>
        <w:rPr>
          <w:rFonts w:ascii="Arial" w:cs="Arial" w:eastAsia="Arial" w:hAnsi="Arial"/>
          <w:b/>
          <w:bCs/>
          <w:sz w:val="21"/>
          <w:szCs w:val="21"/>
        </w:rPr>
        <w:t xml:space="preserve">Separation of concerns.</w:t>
      </w:r>
      <w:r>
        <w:rPr>
          <w:rFonts w:ascii="Arial" w:cs="Arial" w:eastAsia="Arial" w:hAnsi="Arial"/>
          <w:sz w:val="21"/>
          <w:szCs w:val="21"/>
        </w:rPr>
        <w:t xml:space="preserve"> The business metric definition states what the metric is and where it applies. The lineage record states how it is built and how data quality is implemented. Source tables/columns, join logic, and data-quality logic do not belong in the business definition.</w:t>
      </w:r>
    </w:p>
    <w:p>
      <w:pPr>
        <w:pStyle w:val="ListParagraph"/>
        <w:numPr>
          <w:ilvl w:val="0"/>
          <w:numId w:val="2"/>
        </w:numPr>
        <w:spacing w:after="40"/>
      </w:pPr>
      <w:r>
        <w:rPr>
          <w:rFonts w:ascii="Arial" w:cs="Arial" w:eastAsia="Arial" w:hAnsi="Arial"/>
          <w:b/>
          <w:bCs/>
          <w:sz w:val="21"/>
          <w:szCs w:val="21"/>
        </w:rPr>
        <w:t xml:space="preserve">Shared assets are referenced, not embedded.</w:t>
      </w:r>
      <w:r>
        <w:rPr>
          <w:rFonts w:ascii="Arial" w:cs="Arial" w:eastAsia="Arial" w:hAnsi="Arial"/>
          <w:sz w:val="21"/>
          <w:szCs w:val="21"/>
        </w:rPr>
        <w:t xml:space="preserve"> Reference/intermediate assets are shared inputs; the lineage record points to them, and the metric definition never references a data asset directly.</w:t>
      </w:r>
    </w:p>
    <w:p>
      <w:pPr>
        <w:spacing w:after="40" w:before="100"/>
      </w:pPr>
      <w:r>
        <w:rPr>
          <w:rFonts w:ascii="Arial" w:cs="Arial" w:eastAsia="Arial" w:hAnsi="Arial"/>
          <w:b/>
          <w:bCs/>
          <w:sz w:val="22"/>
          <w:szCs w:val="22"/>
        </w:rPr>
        <w:t xml:space="preserve">5.3  What validation confirms</w:t>
      </w:r>
    </w:p>
    <w:p>
      <w:pPr>
        <w:pStyle w:val="ListParagraph"/>
        <w:numPr>
          <w:ilvl w:val="0"/>
          <w:numId w:val="2"/>
        </w:numPr>
        <w:spacing w:after="40"/>
      </w:pPr>
      <w:r>
        <w:rPr>
          <w:rFonts w:ascii="Arial" w:cs="Arial" w:eastAsia="Arial" w:hAnsi="Arial"/>
          <w:sz w:val="21"/>
          <w:szCs w:val="21"/>
        </w:rPr>
        <w:t xml:space="preserve">The lineage record is complete and every documented step is accounted for.</w:t>
      </w:r>
    </w:p>
    <w:p>
      <w:pPr>
        <w:pStyle w:val="ListParagraph"/>
        <w:numPr>
          <w:ilvl w:val="0"/>
          <w:numId w:val="2"/>
        </w:numPr>
        <w:spacing w:after="40"/>
      </w:pPr>
      <w:r>
        <w:rPr>
          <w:rFonts w:ascii="Arial" w:cs="Arial" w:eastAsia="Arial" w:hAnsi="Arial"/>
          <w:sz w:val="21"/>
          <w:szCs w:val="21"/>
        </w:rPr>
        <w:t xml:space="preserve">All source-system and reference-asset references resolve, and referenced assets carry the required metadata.</w:t>
      </w:r>
    </w:p>
    <w:p>
      <w:pPr>
        <w:pStyle w:val="ListParagraph"/>
        <w:numPr>
          <w:ilvl w:val="0"/>
          <w:numId w:val="2"/>
        </w:numPr>
        <w:spacing w:after="40"/>
      </w:pPr>
      <w:r>
        <w:rPr>
          <w:rFonts w:ascii="Arial" w:cs="Arial" w:eastAsia="Arial" w:hAnsi="Arial"/>
          <w:sz w:val="21"/>
          <w:szCs w:val="21"/>
        </w:rPr>
        <w:t xml:space="preserve">The lineage record's data-quality section agrees with the executed query and the recorded availability result for each CDE. Confirming this spec-versus-execution agreement is a required QA check — the documented data path, the query that ran, and the data-quality figure on record must tell the same story.</w:t>
      </w:r>
    </w:p>
    <w:p>
      <w:pPr>
        <w:pStyle w:val="Heading2"/>
        <w:spacing w:after="80" w:before="200"/>
      </w:pPr>
      <w:r>
        <w:rPr>
          <w:rFonts w:ascii="Arial" w:cs="Arial" w:eastAsia="Arial" w:hAnsi="Arial"/>
          <w:b/>
          <w:bCs/>
          <w:color w:val="000000"/>
          <w:sz w:val="26"/>
          <w:szCs w:val="26"/>
        </w:rPr>
        <w:t xml:space="preserve">6.  Data Retention</w:t>
      </w:r>
    </w:p>
    <w:p>
      <w:pPr>
        <w:spacing w:after="120"/>
      </w:pPr>
      <w:r>
        <w:rPr>
          <w:rFonts w:ascii="Arial" w:cs="Arial" w:eastAsia="Arial" w:hAnsi="Arial"/>
          <w:sz w:val="21"/>
          <w:szCs w:val="21"/>
        </w:rPr>
        <w:t xml:space="preserve">Data loaded to the Canada GAML Analytic Zone (CA AZ, CAGAML00BI0001) for the Risk Assessment (RA) is governed by enterprise data standards, which this team abides by. The CA AZ contains data loaded from the Standard Raw Zone (SRZ) and Curated Zone (CZ) in Rahona Cloud.</w:t>
      </w:r>
    </w:p>
    <w:p>
      <w:pPr>
        <w:spacing w:after="40" w:before="100"/>
      </w:pPr>
      <w:r>
        <w:rPr>
          <w:rFonts w:ascii="Arial" w:cs="Arial" w:eastAsia="Arial" w:hAnsi="Arial"/>
          <w:b/>
          <w:bCs/>
          <w:sz w:val="22"/>
          <w:szCs w:val="22"/>
        </w:rPr>
        <w:t xml:space="preserve">Lifecycle</w:t>
      </w:r>
    </w:p>
    <w:p>
      <w:pPr>
        <w:spacing w:after="120"/>
      </w:pPr>
      <w:r>
        <w:rPr>
          <w:rFonts w:ascii="Arial" w:cs="Arial" w:eastAsia="Arial" w:hAnsi="Arial"/>
          <w:sz w:val="21"/>
          <w:szCs w:val="21"/>
        </w:rPr>
        <w:t xml:space="preserve">Risk Assessment data follows the enterprise data lifecycle defined in the TD Data Guidebook, in which Retention &amp; Archival and Disposition &amp; Purging are the two final states.</w:t>
      </w:r>
    </w:p>
    <w:p>
      <w:pPr>
        <w:spacing w:after="40" w:before="100"/>
      </w:pPr>
      <w:r>
        <w:rPr>
          <w:rFonts w:ascii="Arial" w:cs="Arial" w:eastAsia="Arial" w:hAnsi="Arial"/>
          <w:b/>
          <w:bCs/>
          <w:sz w:val="22"/>
          <w:szCs w:val="22"/>
        </w:rPr>
        <w:t xml:space="preserve">Retention</w:t>
      </w:r>
    </w:p>
    <w:p>
      <w:pPr>
        <w:spacing w:after="120"/>
      </w:pPr>
      <w:r>
        <w:rPr>
          <w:rFonts w:ascii="Arial" w:cs="Arial" w:eastAsia="Arial" w:hAnsi="Arial"/>
          <w:sz w:val="21"/>
          <w:szCs w:val="21"/>
        </w:rPr>
        <w:t xml:space="preserve">For customer data and other data required to be kept private by law, PIA-012176 – CA GAML AZ (CAGAML00BI0001) – RA Data to be Loaded (v.7) defines data retention as Active + 5 years (end of assessment + 5 years; retention code CRL-17-GLB). Retention requirements for other data in the AZ are defined in the Record Retention Schedule (RRS), formerly the Enterprise Retention Schedule; data and information (records and non-records) must be retained until those requirements are met. The SRZ and CZ source zones in Rahona Cloud follow the Rahona SRZ/CZ Data Retention Policy.</w:t>
      </w:r>
    </w:p>
    <w:p>
      <w:pPr>
        <w:spacing w:after="40" w:before="100"/>
      </w:pPr>
      <w:r>
        <w:rPr>
          <w:rFonts w:ascii="Arial" w:cs="Arial" w:eastAsia="Arial" w:hAnsi="Arial"/>
          <w:b/>
          <w:bCs/>
          <w:sz w:val="22"/>
          <w:szCs w:val="22"/>
        </w:rPr>
        <w:t xml:space="preserve">Disposition</w:t>
      </w:r>
    </w:p>
    <w:p>
      <w:pPr>
        <w:spacing w:after="120"/>
      </w:pPr>
      <w:r>
        <w:rPr>
          <w:rFonts w:ascii="Arial" w:cs="Arial" w:eastAsia="Arial" w:hAnsi="Arial"/>
          <w:sz w:val="21"/>
          <w:szCs w:val="21"/>
        </w:rPr>
        <w:t xml:space="preserve">Per the DRD Procedure §3.2 (Procedure for Retention) and §3.3.1 Step 1 (Disposition, Automated or Manual), records should be disposed once they exceed their retention requirements and must be disposed within one (1) year of exceeding the retention period. Where possible, regular automated purge routines are recommended (§2.4) and should be coded into the system to automate retention and disposition based on the retention trigger and the retention period.</w:t>
      </w:r>
    </w:p>
    <w:p>
      <w:pPr>
        <w:spacing w:after="40" w:before="100"/>
      </w:pPr>
      <w:r>
        <w:rPr>
          <w:rFonts w:ascii="Arial" w:cs="Arial" w:eastAsia="Arial" w:hAnsi="Arial"/>
          <w:b/>
          <w:bCs/>
          <w:sz w:val="22"/>
          <w:szCs w:val="22"/>
        </w:rPr>
        <w:t xml:space="preserve">References</w:t>
      </w:r>
    </w:p>
    <w:p>
      <w:pPr>
        <w:spacing w:after="60"/>
      </w:pPr>
      <w:r>
        <w:rPr>
          <w:rFonts w:ascii="Arial" w:cs="Arial" w:eastAsia="Arial" w:hAnsi="Arial"/>
          <w:color w:val="1155CC"/>
          <w:sz w:val="21"/>
          <w:szCs w:val="21"/>
          <w:u w:val="single"/>
        </w:rPr>
        <w:t xml:space="preserve">TD Data Guidebook – data lifecycle</w:t>
      </w:r>
    </w:p>
    <w:p>
      <w:pPr>
        <w:spacing w:after="60"/>
      </w:pPr>
      <w:r>
        <w:rPr>
          <w:rFonts w:ascii="Arial" w:cs="Arial" w:eastAsia="Arial" w:hAnsi="Arial"/>
          <w:color w:val="1155CC"/>
          <w:sz w:val="21"/>
          <w:szCs w:val="21"/>
          <w:u w:val="single"/>
        </w:rPr>
        <w:t xml:space="preserve">Data Retention and Disposition (DRD) Procedure – §2.4, §3.2, §3.3.1</w:t>
      </w:r>
    </w:p>
    <w:p>
      <w:pPr>
        <w:spacing w:after="60"/>
      </w:pPr>
      <w:r>
        <w:rPr>
          <w:rFonts w:ascii="Arial" w:cs="Arial" w:eastAsia="Arial" w:hAnsi="Arial"/>
          <w:color w:val="1155CC"/>
          <w:sz w:val="21"/>
          <w:szCs w:val="21"/>
          <w:u w:val="single"/>
        </w:rPr>
        <w:t xml:space="preserve">Record Retention Schedule (RRS)</w:t>
      </w:r>
    </w:p>
    <w:p>
      <w:pPr>
        <w:spacing w:after="60"/>
      </w:pPr>
      <w:r>
        <w:rPr>
          <w:rFonts w:ascii="Arial" w:cs="Arial" w:eastAsia="Arial" w:hAnsi="Arial"/>
          <w:color w:val="1155CC"/>
          <w:sz w:val="21"/>
          <w:szCs w:val="21"/>
          <w:u w:val="single"/>
        </w:rPr>
        <w:t xml:space="preserve">PIA-012176 – Canada GAML AZ (CAGAML00BI0001) – Risk Assessment data to be Loaded (v.7)</w:t>
      </w:r>
    </w:p>
    <w:p>
      <w:pPr>
        <w:spacing w:after="60"/>
      </w:pPr>
      <w:r>
        <w:rPr>
          <w:rFonts w:ascii="Arial" w:cs="Arial" w:eastAsia="Arial" w:hAnsi="Arial"/>
          <w:color w:val="1155CC"/>
          <w:sz w:val="21"/>
          <w:szCs w:val="21"/>
          <w:u w:val="single"/>
        </w:rPr>
        <w:t xml:space="preserve">Rahona SRZ/CZ Data Retention Policy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95959"/>
        <w:sz w:val="17"/>
        <w:szCs w:val="17"/>
      </w:rPr>
      <w:t xml:space="preserve">Internal</w:t>
    </w:r>
    <w:r>
      <w:rPr>
        <w:rFonts w:ascii="Arial" w:cs="Arial" w:eastAsia="Arial" w:hAnsi="Arial"/>
      </w:rPr>
      <w:t xml:space="preserve">	</w:t>
    </w:r>
    <w:r>
      <w:rPr>
        <w:rFonts w:ascii="Arial" w:cs="Arial" w:eastAsia="Arial" w:hAnsi="Arial"/>
        <w:color w:val="595959"/>
        <w:sz w:val="17"/>
        <w:szCs w:val="17"/>
      </w:rPr>
      <w:t xml:space="preserve">Page </w:t>
    </w:r>
    <w:r>
      <w:rPr>
        <w:rFonts w:ascii="Arial" w:cs="Arial" w:eastAsia="Arial" w:hAnsi="Arial"/>
        <w:color w:val="595959"/>
        <w:sz w:val="17"/>
        <w:szCs w:val="17"/>
      </w:rPr>
      <w:fldChar w:fldCharType="begin"/>
      <w:instrText xml:space="preserve">PAGE</w:instrText>
      <w:fldChar w:fldCharType="separate"/>
      <w:fldChar w:fldCharType="end"/>
    </w:r>
    <w:r>
      <w:rPr>
        <w:rFonts w:ascii="Arial" w:cs="Arial" w:eastAsia="Arial" w:hAnsi="Arial"/>
        <w:color w:val="595959"/>
        <w:sz w:val="17"/>
        <w:szCs w:val="17"/>
      </w:rPr>
      <w:t xml:space="preserve"> of </w:t>
    </w:r>
    <w:r>
      <w:rPr>
        <w:rFonts w:ascii="Arial" w:cs="Arial" w:eastAsia="Arial" w:hAnsi="Arial"/>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60"/>
      <w:outlineLvl w:val="0"/>
    </w:pPr>
    <w:rPr>
      <w:rFonts w:ascii="Arial" w:cs="Arial" w:eastAsia="Arial" w:hAnsi="Arial"/>
      <w:b/>
      <w:bCs/>
      <w:color w:val="000000"/>
      <w:sz w:val="30"/>
      <w:szCs w:val="30"/>
    </w:rPr>
  </w:style>
  <w:style w:type="paragraph" w:styleId="Heading2">
    <w:name w:val="Heading 2"/>
    <w:basedOn w:val="Normal"/>
    <w:next w:val="Normal"/>
    <w:qFormat/>
    <w:pPr>
      <w:keepNext/>
      <w:spacing w:after="80" w:before="2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2026-06-09T17:51:47.978Z</dcterms:created>
  <dcterms:modified xsi:type="dcterms:W3CDTF">2026-06-09T17:51:47.979Z</dcterms:modified>
</cp:coreProperties>
</file>

<file path=docProps/custom.xml><?xml version="1.0" encoding="utf-8"?>
<Properties xmlns="http://schemas.openxmlformats.org/officeDocument/2006/custom-properties" xmlns:vt="http://schemas.openxmlformats.org/officeDocument/2006/docPropsVTypes"/>
</file>