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360"/>
      </w:tblGrid>
      <w:tr>
        <w:tc>
          <w:tcPr>
            <w:tcW w:type="dxa" w:w="9360"/>
            <w:shd w:val="clear" w:color="auto" w:fill="1B5E20"/>
            <w:tcMar>
              <w:top w:w="220" w:type="dxa"/>
              <w:bottom w:w="240" w:type="dxa"/>
              <w:start w:w="260" w:type="dxa"/>
              <w:end w:w="260" w:type="dxa"/>
              <w:left w:w="260" w:type="dxa"/>
              <w:right w:w="260" w:type="dxa"/>
            </w:tcMar>
          </w:tcPr>
          <w:p>
            <w:r/>
          </w:p>
          <w:p>
            <w:pPr>
              <w:spacing w:before="0" w:after="8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A5D6A7"/>
                <w:sz w:val="18"/>
              </w:rPr>
              <w:t>TD Bank Group  ·  FCRM Enterprise Risk Assessment Reporting Team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52"/>
              </w:rPr>
              <w:t>Governance, Decision &amp; Issue Management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C8E6C9"/>
                <w:sz w:val="22"/>
              </w:rPr>
              <w:t>ML/TF and Sanctions Risk Assessment  ·  FY2025  ·  MCC Team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A5D6A7"/>
                <w:sz w:val="18"/>
              </w:rPr>
              <w:t>Version 1.0  ·  June 2026  ·  Internal  ·  1LOD / 2LOD / 3LOD and Regulatory Reviewers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val="clear" w:color="auto" w:fill="C8E6C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21"/>
              </w:rPr>
              <w:t>Attribute</w:t>
            </w:r>
          </w:p>
        </w:tc>
        <w:tc>
          <w:tcPr>
            <w:tcW w:type="dxa" w:w="7160"/>
            <w:shd w:val="clear" w:color="auto" w:fill="C8E6C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21"/>
              </w:rPr>
              <w:t>Detail</w:t>
            </w:r>
          </w:p>
        </w:tc>
      </w:tr>
      <w:tr>
        <w:tc>
          <w:tcPr>
            <w:tcW w:type="dxa" w:w="220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sz w:val="21"/>
              </w:rPr>
              <w:t>Document Title</w:t>
            </w:r>
          </w:p>
        </w:tc>
        <w:tc>
          <w:tcPr>
            <w:tcW w:type="dxa" w:w="716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sz w:val="21"/>
              </w:rPr>
              <w:t>Governance, Decision &amp; Issue Management — Standard Operating Procedure</w:t>
            </w:r>
          </w:p>
        </w:tc>
      </w:tr>
      <w:tr>
        <w:tc>
          <w:tcPr>
            <w:tcW w:type="dxa" w:w="220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sz w:val="21"/>
              </w:rPr>
              <w:t>Document Owner</w:t>
            </w:r>
          </w:p>
        </w:tc>
        <w:tc>
          <w:tcPr>
            <w:tcW w:type="dxa" w:w="716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sz w:val="21"/>
              </w:rPr>
              <w:t>FCRM Enterprise Risk Assessment Reporting Team (MCC Team)</w:t>
            </w:r>
          </w:p>
        </w:tc>
      </w:tr>
      <w:tr>
        <w:tc>
          <w:tcPr>
            <w:tcW w:type="dxa" w:w="220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sz w:val="21"/>
              </w:rPr>
              <w:t>Effective Date</w:t>
            </w:r>
          </w:p>
        </w:tc>
        <w:tc>
          <w:tcPr>
            <w:tcW w:type="dxa" w:w="716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sz w:val="21"/>
              </w:rPr>
              <w:t>June 2026</w:t>
            </w:r>
          </w:p>
        </w:tc>
      </w:tr>
      <w:tr>
        <w:tc>
          <w:tcPr>
            <w:tcW w:type="dxa" w:w="220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sz w:val="21"/>
              </w:rPr>
              <w:t>Version</w:t>
            </w:r>
          </w:p>
        </w:tc>
        <w:tc>
          <w:tcPr>
            <w:tcW w:type="dxa" w:w="716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sz w:val="21"/>
              </w:rPr>
              <w:t>1.0</w:t>
            </w:r>
          </w:p>
        </w:tc>
      </w:tr>
      <w:tr>
        <w:tc>
          <w:tcPr>
            <w:tcW w:type="dxa" w:w="220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sz w:val="21"/>
              </w:rPr>
              <w:t>Target Audience</w:t>
            </w:r>
          </w:p>
        </w:tc>
        <w:tc>
          <w:tcPr>
            <w:tcW w:type="dxa" w:w="716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sz w:val="21"/>
              </w:rPr>
              <w:t>1LOD, 2LOD, 3LOD (Internal Audit), and Regulatory Reviewers</w:t>
            </w:r>
          </w:p>
        </w:tc>
      </w:tr>
      <w:tr>
        <w:tc>
          <w:tcPr>
            <w:tcW w:type="dxa" w:w="220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sz w:val="21"/>
              </w:rPr>
              <w:t>System of Record</w:t>
            </w:r>
          </w:p>
        </w:tc>
        <w:tc>
          <w:tcPr>
            <w:tcW w:type="dxa" w:w="716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sz w:val="21"/>
              </w:rPr>
              <w:t>Jira (FY25 RA CYCLE - DATA) + RAID Log + SharePoint</w:t>
            </w:r>
          </w:p>
        </w:tc>
      </w:tr>
    </w:tbl>
    <w:p>
      <w:pPr>
        <w:keepNext/>
        <w:spacing w:before="320" w:after="120"/>
        <w:pBdr>
          <w:bottom w:val="single" w:sz="6" w:space="4" w:color="1B5E20"/>
        </w:pBdr>
      </w:pPr>
      <w:r>
        <w:rPr>
          <w:rFonts w:ascii="Arial" w:hAnsi="Arial" w:cs="Arial" w:eastAsia="Arial"/>
          <w:b/>
          <w:i w:val="0"/>
          <w:color w:val="1B5E20"/>
          <w:sz w:val="32"/>
        </w:rPr>
        <w:t>1.  Purpose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This SOP defines the mandatory governance, decision-logging, and issue-management procedures for the FY2025 Anti-Money Laundering (AML) and Sanctions Enterprise Risk Assessment (RA) process. It ensures that: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every business-logic, scoping, and methodology decision is captured and traceable;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every issue, blocker, or data-quality failure is logged, classified, escalated, and resolved through a controlled path; and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 xml:space="preserve">data gaps below threshold are </w:t>
      </w:r>
      <w:r>
        <w:rPr>
          <w:rFonts w:ascii="Arial" w:hAnsi="Arial" w:cs="Arial" w:eastAsia="Arial"/>
          <w:b/>
          <w:i w:val="0"/>
          <w:sz w:val="21"/>
        </w:rPr>
        <w:t>formally risk-accepted by stakeholders rather than silently suppressed</w:t>
      </w:r>
      <w:r>
        <w:rPr>
          <w:rFonts w:ascii="Arial" w:hAnsi="Arial" w:cs="Arial" w:eastAsia="Arial"/>
          <w:b w:val="0"/>
          <w:i w:val="0"/>
          <w:sz w:val="21"/>
        </w:rPr>
        <w:t>, so the Inherent Risk rating of an Assessable Unit (AU) is never artificially lowered.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8E6C9"/>
          <w:bottom w:val="single" w:sz="4" w:space="0" w:color="C8E6C9"/>
          <w:right w:val="single" w:sz="4" w:space="0" w:color="C8E6C9"/>
          <w:left w:val="single" w:sz="24" w:space="0" w:color="1B5E20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1F8E9"/>
            <w:tcMar>
              <w:top w:w="80" w:type="dxa"/>
              <w:bottom w:w="8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/>
                <w:color w:val="33691E"/>
                <w:sz w:val="20"/>
              </w:rPr>
              <w:t>Governance rule: All business logic and methodology decisions must be formally captured in Jira. Unlogged out-of-band decisions cannot be considered authoritative and will be flagged as audit findings.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6" w:space="4" w:color="1B5E20"/>
        </w:pBdr>
      </w:pPr>
      <w:r>
        <w:rPr>
          <w:rFonts w:ascii="Arial" w:hAnsi="Arial" w:cs="Arial" w:eastAsia="Arial"/>
          <w:b/>
          <w:i w:val="0"/>
          <w:color w:val="1B5E20"/>
          <w:sz w:val="32"/>
        </w:rPr>
        <w:t>2.  Scope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This SOP applies to all governance activity performed by the MCC Team across the RA delivery cycle, covering: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Business logic, scoping, and methodology decisions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Assumptions, default thresholds, and proxy-data choices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Issues, blockers, and data-quality failures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Severity classification and escalation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Resolution and unblocking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Risk acceptance of data below the 95% data-quality threshold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Decommissioning of retired metrics, AUs, or Work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8E6C9"/>
          <w:bottom w:val="single" w:sz="4" w:space="0" w:color="C8E6C9"/>
          <w:right w:val="single" w:sz="4" w:space="0" w:color="C8E6C9"/>
          <w:left w:val="single" w:sz="24" w:space="0" w:color="1B5E20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1F8E9"/>
            <w:tcMar>
              <w:top w:w="80" w:type="dxa"/>
              <w:bottom w:w="8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/>
                <w:color w:val="33691E"/>
                <w:sz w:val="20"/>
              </w:rPr>
              <w:t>Out of scope: Decisions owned by First Line (1LOD) business stakeholders, enterprise-level governance outside the RA data-delivery work, and changes to upstream source systems (Rahona, ADIDO).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6" w:space="4" w:color="1B5E20"/>
        </w:pBdr>
      </w:pPr>
      <w:r>
        <w:rPr>
          <w:rFonts w:ascii="Arial" w:hAnsi="Arial" w:cs="Arial" w:eastAsia="Arial"/>
          <w:b/>
          <w:i w:val="0"/>
          <w:color w:val="1B5E20"/>
          <w:sz w:val="32"/>
        </w:rPr>
        <w:t>3.  Key Principles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The following principles govern all decision and issue-management activity: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No decision is authoritative unless it is logged in Jira — out-of-band or verbal decisions are not permitted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Every issue or blocker has both a Jira BLOCKED state and a corresponding RAID log entry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Severity is classified consistently (P1 / P2 / P3) and drives escalation urgency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Escalation follows the defined matrix; verbal escalations alone are not sufficient for audit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An issue is considered resolved only when it is marked Closed in the RAID log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 xml:space="preserve">Data below the 95% threshold is </w:t>
      </w:r>
      <w:r>
        <w:rPr>
          <w:rFonts w:ascii="Arial" w:hAnsi="Arial" w:cs="Arial" w:eastAsia="Arial"/>
          <w:b/>
          <w:i w:val="0"/>
          <w:sz w:val="21"/>
        </w:rPr>
        <w:t>formally risk-accepted by key stakeholders</w:t>
      </w:r>
      <w:r>
        <w:rPr>
          <w:rFonts w:ascii="Arial" w:hAnsi="Arial" w:cs="Arial" w:eastAsia="Arial"/>
          <w:b w:val="0"/>
          <w:i w:val="0"/>
          <w:sz w:val="21"/>
        </w:rPr>
        <w:t xml:space="preserve"> — never silently dropped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Retired scope is transitioned (NO LONGER REQUIRED / NOT APPLICABLE), not deleted — historical traceability is preserved</w:t>
      </w:r>
    </w:p>
    <w:p>
      <w:pPr>
        <w:keepNext/>
        <w:spacing w:before="320" w:after="120"/>
        <w:pBdr>
          <w:bottom w:val="single" w:sz="6" w:space="4" w:color="1B5E20"/>
        </w:pBdr>
      </w:pPr>
      <w:r>
        <w:rPr>
          <w:rFonts w:ascii="Arial" w:hAnsi="Arial" w:cs="Arial" w:eastAsia="Arial"/>
          <w:b/>
          <w:i w:val="0"/>
          <w:color w:val="1B5E20"/>
          <w:sz w:val="32"/>
        </w:rPr>
        <w:t>4.  Process Steps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The governance process consists of eight sequential steps. Steps 1–4 are owned by the Decision &amp; Issue owner; Steps 5–8 are owned by the Escalation &amp; Resolution owner.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60"/>
        <w:gridCol w:w="1300"/>
        <w:gridCol w:w="1450"/>
        <w:gridCol w:w="1350"/>
        <w:gridCol w:w="2400"/>
        <w:gridCol w:w="1400"/>
        <w:gridCol w:w="1100"/>
      </w:tblGrid>
      <w:tr>
        <w:tc>
          <w:tcPr>
            <w:tcW w:type="dxa" w:w="36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18"/>
              </w:rPr>
              <w:t>#</w:t>
            </w:r>
          </w:p>
        </w:tc>
        <w:tc>
          <w:tcPr>
            <w:tcW w:type="dxa" w:w="130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18"/>
              </w:rPr>
              <w:t>Step Name</w:t>
            </w:r>
          </w:p>
        </w:tc>
        <w:tc>
          <w:tcPr>
            <w:tcW w:type="dxa" w:w="145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18"/>
              </w:rPr>
              <w:t>Jira State</w:t>
            </w:r>
          </w:p>
        </w:tc>
        <w:tc>
          <w:tcPr>
            <w:tcW w:type="dxa" w:w="135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18"/>
              </w:rPr>
              <w:t>Inputs</w:t>
            </w:r>
          </w:p>
        </w:tc>
        <w:tc>
          <w:tcPr>
            <w:tcW w:type="dxa" w:w="240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18"/>
              </w:rPr>
              <w:t>Actions</w:t>
            </w:r>
          </w:p>
        </w:tc>
        <w:tc>
          <w:tcPr>
            <w:tcW w:type="dxa" w:w="140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18"/>
              </w:rPr>
              <w:t>Outputs</w:t>
            </w:r>
          </w:p>
        </w:tc>
        <w:tc>
          <w:tcPr>
            <w:tcW w:type="dxa" w:w="110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18"/>
              </w:rPr>
              <w:t>Appr.</w:t>
            </w:r>
          </w:p>
        </w:tc>
      </w:tr>
      <w:tr>
        <w:tc>
          <w:tcPr>
            <w:tcW w:type="dxa" w:w="3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1</w:t>
            </w:r>
          </w:p>
        </w:tc>
        <w:tc>
          <w:tcPr>
            <w:tcW w:type="dxa" w:w="13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Decision Logging</w:t>
            </w:r>
          </w:p>
        </w:tc>
        <w:tc>
          <w:tcPr>
            <w:tcW w:type="dxa" w:w="14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LOGIC DESIGN DEF → BUSINESS LOGIC SEMANTIC</w:t>
            </w:r>
          </w:p>
        </w:tc>
        <w:tc>
          <w:tcPr>
            <w:tcW w:type="dxa" w:w="13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logic discussions, methodology decisions</w:t>
            </w:r>
          </w:p>
        </w:tc>
        <w:tc>
          <w:tcPr>
            <w:tcW w:type="dxa" w:w="2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Capture all business logic, scoping, and methodological decisions in Jira. No out-of-band decisions.</w:t>
            </w:r>
          </w:p>
        </w:tc>
        <w:tc>
          <w:tcPr>
            <w:tcW w:type="dxa" w:w="1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Jira ticket with full decision notes</w:t>
            </w:r>
          </w:p>
        </w:tc>
        <w:tc>
          <w:tcPr>
            <w:tcW w:type="dxa" w:w="1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3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2</w:t>
            </w:r>
          </w:p>
        </w:tc>
        <w:tc>
          <w:tcPr>
            <w:tcW w:type="dxa" w:w="13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Assumption Tracking</w:t>
            </w:r>
          </w:p>
        </w:tc>
        <w:tc>
          <w:tcPr>
            <w:tcW w:type="dxa" w:w="14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METRIC DEFINITION CLARIFICATION → BAU CDE DOCUMENTATION</w:t>
            </w:r>
          </w:p>
        </w:tc>
        <w:tc>
          <w:tcPr>
            <w:tcW w:type="dxa" w:w="13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Ambiguous requirements, proxy data, default thresholds</w:t>
            </w:r>
          </w:p>
        </w:tc>
        <w:tc>
          <w:tcPr>
            <w:tcW w:type="dxa" w:w="2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Formally document ambiguities, default thresholds, and proxy-data assumptions; resolve in the relevant Jira state.</w:t>
            </w:r>
          </w:p>
        </w:tc>
        <w:tc>
          <w:tcPr>
            <w:tcW w:type="dxa" w:w="1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Jira ticket, assumption log</w:t>
            </w:r>
          </w:p>
        </w:tc>
        <w:tc>
          <w:tcPr>
            <w:tcW w:type="dxa" w:w="1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3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3</w:t>
            </w:r>
          </w:p>
        </w:tc>
        <w:tc>
          <w:tcPr>
            <w:tcW w:type="dxa" w:w="13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Issue Logging</w:t>
            </w:r>
          </w:p>
        </w:tc>
        <w:tc>
          <w:tcPr>
            <w:tcW w:type="dxa" w:w="14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BLOCKED</w:t>
            </w:r>
          </w:p>
        </w:tc>
        <w:tc>
          <w:tcPr>
            <w:tcW w:type="dxa" w:w="13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Identified blockers, data issues, QA failures</w:t>
            </w:r>
          </w:p>
        </w:tc>
        <w:tc>
          <w:tcPr>
            <w:tcW w:type="dxa" w:w="2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If a metric cannot proceed (upstream QA failure, missing source), transition the ticket to BLOCKED and create a RAID log entry.</w:t>
            </w:r>
          </w:p>
        </w:tc>
        <w:tc>
          <w:tcPr>
            <w:tcW w:type="dxa" w:w="1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RAID log entry, BLOCKED Jira ticket</w:t>
            </w:r>
          </w:p>
        </w:tc>
        <w:tc>
          <w:tcPr>
            <w:tcW w:type="dxa" w:w="1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3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4</w:t>
            </w:r>
          </w:p>
        </w:tc>
        <w:tc>
          <w:tcPr>
            <w:tcW w:type="dxa" w:w="13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Severity Assessment</w:t>
            </w:r>
          </w:p>
        </w:tc>
        <w:tc>
          <w:tcPr>
            <w:tcW w:type="dxa" w:w="14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BLOCKED</w:t>
            </w:r>
          </w:p>
        </w:tc>
        <w:tc>
          <w:tcPr>
            <w:tcW w:type="dxa" w:w="13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Logged issues in RAID</w:t>
            </w:r>
          </w:p>
        </w:tc>
        <w:tc>
          <w:tcPr>
            <w:tcW w:type="dxa" w:w="2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Classify each issue: P1 = critical data gaps, P2 = systemic failures, P3 = localized logic discrepancies. Priority sets escalation urgency.</w:t>
            </w:r>
          </w:p>
        </w:tc>
        <w:tc>
          <w:tcPr>
            <w:tcW w:type="dxa" w:w="1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Severity classification (P1/P2/P3) in RAID log</w:t>
            </w:r>
          </w:p>
        </w:tc>
        <w:tc>
          <w:tcPr>
            <w:tcW w:type="dxa" w:w="1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3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5</w:t>
            </w:r>
          </w:p>
        </w:tc>
        <w:tc>
          <w:tcPr>
            <w:tcW w:type="dxa" w:w="13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Escalation Pathways</w:t>
            </w:r>
          </w:p>
        </w:tc>
        <w:tc>
          <w:tcPr>
            <w:tcW w:type="dxa" w:w="14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BLOCKED</w:t>
            </w:r>
          </w:p>
        </w:tc>
        <w:tc>
          <w:tcPr>
            <w:tcW w:type="dxa" w:w="13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Unresolved BLOCKED issues beyond SLA</w:t>
            </w:r>
          </w:p>
        </w:tc>
        <w:tc>
          <w:tcPr>
            <w:tcW w:type="dxa" w:w="2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Apply the escalation matrix: Developer → Team Lead → Project Manager → Business Stakeholders / 2LOD. Categorize blocker type.</w:t>
            </w:r>
          </w:p>
        </w:tc>
        <w:tc>
          <w:tcPr>
            <w:tcW w:type="dxa" w:w="1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Escalation record, Jira comments, 2LOD notification</w:t>
            </w:r>
          </w:p>
        </w:tc>
        <w:tc>
          <w:tcPr>
            <w:tcW w:type="dxa" w:w="1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3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6</w:t>
            </w:r>
          </w:p>
        </w:tc>
        <w:tc>
          <w:tcPr>
            <w:tcW w:type="dxa" w:w="13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Resolution &amp; Unblocking</w:t>
            </w:r>
          </w:p>
        </w:tc>
        <w:tc>
          <w:tcPr>
            <w:tcW w:type="dxa" w:w="14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BLOCKED → READY FOR FINAL REVIEW</w:t>
            </w:r>
          </w:p>
        </w:tc>
        <w:tc>
          <w:tcPr>
            <w:tcW w:type="dxa" w:w="13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Resolved issues, RAID log closure</w:t>
            </w:r>
          </w:p>
        </w:tc>
        <w:tc>
          <w:tcPr>
            <w:tcW w:type="dxa" w:w="2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Confirm the issue is Closed in the RAID log; only then transition the Jira ticket off BLOCKED.</w:t>
            </w:r>
          </w:p>
        </w:tc>
        <w:tc>
          <w:tcPr>
            <w:tcW w:type="dxa" w:w="1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RAID log closure record, Jira state transition</w:t>
            </w:r>
          </w:p>
        </w:tc>
        <w:tc>
          <w:tcPr>
            <w:tcW w:type="dxa" w:w="1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7</w:t>
            </w:r>
          </w:p>
        </w:tc>
        <w:tc>
          <w:tcPr>
            <w:tcW w:type="dxa" w:w="13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Risk Acceptance</w:t>
            </w:r>
          </w:p>
        </w:tc>
        <w:tc>
          <w:tcPr>
            <w:tcW w:type="dxa" w:w="14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AVAILABLE</w:t>
            </w:r>
          </w:p>
        </w:tc>
        <w:tc>
          <w:tcPr>
            <w:tcW w:type="dxa" w:w="13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Unresolvable issues (data below threshold)</w:t>
            </w:r>
          </w:p>
        </w:tc>
        <w:tc>
          <w:tcPr>
            <w:tcW w:type="dxa" w:w="2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below threshold is formally risk-accepted by key stakeholders → NOT AVAILABLE → triggers the higher risk rating for the impacted AU.</w:t>
            </w:r>
          </w:p>
        </w:tc>
        <w:tc>
          <w:tcPr>
            <w:tcW w:type="dxa" w:w="1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AVAILABLE Jira state, risk-acceptance record</w:t>
            </w:r>
          </w:p>
        </w:tc>
        <w:tc>
          <w:tcPr>
            <w:tcW w:type="dxa" w:w="1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8</w:t>
            </w:r>
          </w:p>
        </w:tc>
        <w:tc>
          <w:tcPr>
            <w:tcW w:type="dxa" w:w="13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Decommissioning &amp; Sign-Off</w:t>
            </w:r>
          </w:p>
        </w:tc>
        <w:tc>
          <w:tcPr>
            <w:tcW w:type="dxa" w:w="14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LONGER REQUIRED / NOT APPLICABLE</w:t>
            </w:r>
          </w:p>
        </w:tc>
        <w:tc>
          <w:tcPr>
            <w:tcW w:type="dxa" w:w="135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Out-of-scope metrics, retired AUs, deprecated Work Packages</w:t>
            </w:r>
          </w:p>
        </w:tc>
        <w:tc>
          <w:tcPr>
            <w:tcW w:type="dxa" w:w="2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Transition retired scope to NO LONGER REQUIRED or NOT APPLICABLE; log in the SOW change log. Preserve historical traceability.</w:t>
            </w:r>
          </w:p>
        </w:tc>
        <w:tc>
          <w:tcPr>
            <w:tcW w:type="dxa" w:w="14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Jira state transition, SOW change log entry</w:t>
            </w:r>
          </w:p>
        </w:tc>
        <w:tc>
          <w:tcPr>
            <w:tcW w:type="dxa" w:w="1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4.1  Step 1 — Decision Logging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 xml:space="preserve">All business-logic, scoping, and methodological decisions must be captured in Jira in the </w:t>
      </w:r>
      <w:r>
        <w:rPr>
          <w:rFonts w:ascii="Arial" w:hAnsi="Arial" w:cs="Arial" w:eastAsia="Arial"/>
          <w:b/>
          <w:i w:val="0"/>
          <w:sz w:val="21"/>
        </w:rPr>
        <w:t>FY25 RA CYCLE - DATA</w:t>
      </w:r>
      <w:r>
        <w:rPr>
          <w:rFonts w:ascii="Arial" w:hAnsi="Arial" w:cs="Arial" w:eastAsia="Arial"/>
          <w:b w:val="0"/>
          <w:i w:val="0"/>
          <w:sz w:val="21"/>
        </w:rPr>
        <w:t xml:space="preserve"> project. Initial business rules and metric definitions are formalized while the ticket is in </w:t>
      </w:r>
      <w:r>
        <w:rPr>
          <w:rFonts w:ascii="Arial" w:hAnsi="Arial" w:cs="Arial" w:eastAsia="Arial"/>
          <w:b/>
          <w:i w:val="0"/>
          <w:sz w:val="21"/>
        </w:rPr>
        <w:t>BUSINESS LOGIC DESIGN DEF</w:t>
      </w:r>
      <w:r>
        <w:rPr>
          <w:rFonts w:ascii="Arial" w:hAnsi="Arial" w:cs="Arial" w:eastAsia="Arial"/>
          <w:b w:val="0"/>
          <w:i w:val="0"/>
          <w:sz w:val="21"/>
        </w:rPr>
        <w:t xml:space="preserve"> and </w:t>
      </w:r>
      <w:r>
        <w:rPr>
          <w:rFonts w:ascii="Arial" w:hAnsi="Arial" w:cs="Arial" w:eastAsia="Arial"/>
          <w:b/>
          <w:i w:val="0"/>
          <w:sz w:val="21"/>
        </w:rPr>
        <w:t>BUSINESS LOGIC SEMANTIC</w:t>
      </w:r>
      <w:r>
        <w:rPr>
          <w:rFonts w:ascii="Arial" w:hAnsi="Arial" w:cs="Arial" w:eastAsia="Arial"/>
          <w:b w:val="0"/>
          <w:i w:val="0"/>
          <w:sz w:val="21"/>
        </w:rPr>
        <w:t xml:space="preserve"> states. The decision record must include what was decided, the rationale, who decided it, and the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8E6C9"/>
          <w:bottom w:val="single" w:sz="4" w:space="0" w:color="C8E6C9"/>
          <w:right w:val="single" w:sz="4" w:space="0" w:color="C8E6C9"/>
          <w:left w:val="single" w:sz="24" w:space="0" w:color="1B5E20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1F8E9"/>
            <w:tcMar>
              <w:top w:w="80" w:type="dxa"/>
              <w:bottom w:w="8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/>
                <w:color w:val="33691E"/>
                <w:sz w:val="20"/>
              </w:rPr>
              <w:t>Unlogged out-of-band decisions are not permitted. A decision that exists only in email, chat, or conversation is not authoritative and will be raised as an audit finding.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4.2  Step 2 — Assumption Tracking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 xml:space="preserve">Ambiguities in requirements, default thresholds, and proxy-data assumptions must be formally documented and resolved while the ticket is in </w:t>
      </w:r>
      <w:r>
        <w:rPr>
          <w:rFonts w:ascii="Arial" w:hAnsi="Arial" w:cs="Arial" w:eastAsia="Arial"/>
          <w:b/>
          <w:i w:val="0"/>
          <w:sz w:val="21"/>
        </w:rPr>
        <w:t>METRIC DEFINITION CLARIFICATION</w:t>
      </w:r>
      <w:r>
        <w:rPr>
          <w:rFonts w:ascii="Arial" w:hAnsi="Arial" w:cs="Arial" w:eastAsia="Arial"/>
          <w:b w:val="0"/>
          <w:i w:val="0"/>
          <w:sz w:val="21"/>
        </w:rPr>
        <w:t xml:space="preserve"> or </w:t>
      </w:r>
      <w:r>
        <w:rPr>
          <w:rFonts w:ascii="Arial" w:hAnsi="Arial" w:cs="Arial" w:eastAsia="Arial"/>
          <w:b/>
          <w:i w:val="0"/>
          <w:sz w:val="21"/>
        </w:rPr>
        <w:t>BAU CDE DOCUMENTATION</w:t>
      </w:r>
      <w:r>
        <w:rPr>
          <w:rFonts w:ascii="Arial" w:hAnsi="Arial" w:cs="Arial" w:eastAsia="Arial"/>
          <w:b w:val="0"/>
          <w:i w:val="0"/>
          <w:sz w:val="21"/>
        </w:rPr>
        <w:t xml:space="preserve"> state. Each assumption record must state the ambiguity, the assumption made, the basis for it, and the resolution.</w:t>
      </w: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4.3  Step 3 — Issue Logging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 xml:space="preserve">When a metric cannot proceed — for example due to an upstream QA failure or a missing source file — the Jira ticket must </w:t>
      </w:r>
      <w:r>
        <w:rPr>
          <w:rFonts w:ascii="Arial" w:hAnsi="Arial" w:cs="Arial" w:eastAsia="Arial"/>
          <w:b/>
          <w:i w:val="0"/>
          <w:sz w:val="21"/>
        </w:rPr>
        <w:t>immediately transition to BLOCKED</w:t>
      </w:r>
      <w:r>
        <w:rPr>
          <w:rFonts w:ascii="Arial" w:hAnsi="Arial" w:cs="Arial" w:eastAsia="Arial"/>
          <w:b w:val="0"/>
          <w:i w:val="0"/>
          <w:sz w:val="21"/>
        </w:rPr>
        <w:t xml:space="preserve">, and a corresponding entry must be captured in the formal </w:t>
      </w:r>
      <w:r>
        <w:rPr>
          <w:rFonts w:ascii="Arial" w:hAnsi="Arial" w:cs="Arial" w:eastAsia="Arial"/>
          <w:b/>
          <w:i w:val="0"/>
          <w:sz w:val="21"/>
        </w:rPr>
        <w:t>RAID Log</w:t>
      </w:r>
      <w:r>
        <w:rPr>
          <w:rFonts w:ascii="Arial" w:hAnsi="Arial" w:cs="Arial" w:eastAsia="Arial"/>
          <w:b w:val="0"/>
          <w:i w:val="0"/>
          <w:sz w:val="21"/>
        </w:rPr>
        <w:t xml:space="preserve"> (Risks, Assumptions, Issues, Dependencies). The RAID entry must describe the issue, the impacted metrics/AUs, and the dependency or root cause where known.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8E6C9"/>
          <w:bottom w:val="single" w:sz="4" w:space="0" w:color="C8E6C9"/>
          <w:right w:val="single" w:sz="4" w:space="0" w:color="C8E6C9"/>
          <w:left w:val="single" w:sz="24" w:space="0" w:color="1B5E20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1F8E9"/>
            <w:tcMar>
              <w:top w:w="80" w:type="dxa"/>
              <w:bottom w:w="8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/>
                <w:color w:val="33691E"/>
                <w:sz w:val="20"/>
              </w:rPr>
              <w:t>A BLOCKED Jira ticket without a matching RAID log entry is incomplete. Both must exist for the issue to be considered logged.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4.4  Step 4 — Severity Assessment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Every logged issue undergoes standardized severity assessment, which determines escalation urgency: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21"/>
        </w:rPr>
        <w:t>P1 — Critical data gaps</w:t>
      </w:r>
      <w:r>
        <w:rPr>
          <w:rFonts w:ascii="Arial" w:hAnsi="Arial" w:cs="Arial" w:eastAsia="Arial"/>
          <w:b w:val="0"/>
          <w:i w:val="0"/>
          <w:sz w:val="21"/>
        </w:rPr>
        <w:t xml:space="preserve"> (e.g., a CDE required to close an AU is unavailable)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21"/>
        </w:rPr>
        <w:t>P2 — Systemic failures</w:t>
      </w:r>
      <w:r>
        <w:rPr>
          <w:rFonts w:ascii="Arial" w:hAnsi="Arial" w:cs="Arial" w:eastAsia="Arial"/>
          <w:b w:val="0"/>
          <w:i w:val="0"/>
          <w:sz w:val="21"/>
        </w:rPr>
        <w:t xml:space="preserve"> (e.g., a fault affecting multiple metrics or AUs)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21"/>
        </w:rPr>
        <w:t>P3 — Localized logic discrepancies</w:t>
      </w:r>
      <w:r>
        <w:rPr>
          <w:rFonts w:ascii="Arial" w:hAnsi="Arial" w:cs="Arial" w:eastAsia="Arial"/>
          <w:b w:val="0"/>
          <w:i w:val="0"/>
          <w:sz w:val="21"/>
        </w:rPr>
        <w:t xml:space="preserve"> (e.g., a single-metric logic issue with limited impact)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The severity classification is recorded against the issue in the RAID log.</w:t>
      </w: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4.5  Step 5 — Escalation Pathways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When an issue cannot be resolved within its SLA, it is escalated through the structured matrix:</w:t>
      </w:r>
    </w:p>
    <w:p>
      <w:pPr>
        <w:spacing w:after="120"/>
      </w:pPr>
      <w:r>
        <w:rPr>
          <w:rFonts w:ascii="Arial" w:hAnsi="Arial" w:cs="Arial" w:eastAsia="Arial"/>
          <w:b/>
          <w:i w:val="0"/>
          <w:sz w:val="21"/>
        </w:rPr>
        <w:t>Developer → Team Lead → Project Manager → Business Stakeholders / 2LOD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Each escalation must categorize the blocker type and be recorded in the Jira ticket comments and the RAID log. P1 issues are escalated immediately.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8E6C9"/>
          <w:bottom w:val="single" w:sz="4" w:space="0" w:color="C8E6C9"/>
          <w:right w:val="single" w:sz="4" w:space="0" w:color="C8E6C9"/>
          <w:left w:val="single" w:sz="24" w:space="0" w:color="1B5E20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1F8E9"/>
            <w:tcMar>
              <w:top w:w="80" w:type="dxa"/>
              <w:bottom w:w="8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/>
                <w:color w:val="33691E"/>
                <w:sz w:val="20"/>
              </w:rPr>
              <w:t>All escalations must be documented in the Jira ticket comments and the RAID log — verbal escalations alone are not sufficient for audit purposes.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4.6  Step 6 — Resolution &amp; Unblocking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 xml:space="preserve">An issue is considered resolved </w:t>
      </w:r>
      <w:r>
        <w:rPr>
          <w:rFonts w:ascii="Arial" w:hAnsi="Arial" w:cs="Arial" w:eastAsia="Arial"/>
          <w:b/>
          <w:i w:val="0"/>
          <w:sz w:val="21"/>
        </w:rPr>
        <w:t>only when it is marked Closed in the RAID log</w:t>
      </w:r>
      <w:r>
        <w:rPr>
          <w:rFonts w:ascii="Arial" w:hAnsi="Arial" w:cs="Arial" w:eastAsia="Arial"/>
          <w:b w:val="0"/>
          <w:i w:val="0"/>
          <w:sz w:val="21"/>
        </w:rPr>
        <w:t xml:space="preserve">. Only then may the Jira ticket leave the </w:t>
      </w:r>
      <w:r>
        <w:rPr>
          <w:rFonts w:ascii="Arial" w:hAnsi="Arial" w:cs="Arial" w:eastAsia="Arial"/>
          <w:b/>
          <w:i w:val="0"/>
          <w:sz w:val="21"/>
        </w:rPr>
        <w:t>BLOCKED</w:t>
      </w:r>
      <w:r>
        <w:rPr>
          <w:rFonts w:ascii="Arial" w:hAnsi="Arial" w:cs="Arial" w:eastAsia="Arial"/>
          <w:b w:val="0"/>
          <w:i w:val="0"/>
          <w:sz w:val="21"/>
        </w:rPr>
        <w:t xml:space="preserve"> state and proceed toward </w:t>
      </w:r>
      <w:r>
        <w:rPr>
          <w:rFonts w:ascii="Arial" w:hAnsi="Arial" w:cs="Arial" w:eastAsia="Arial"/>
          <w:b/>
          <w:i w:val="0"/>
          <w:sz w:val="21"/>
        </w:rPr>
        <w:t>READY FOR FINAL REVIEW</w:t>
      </w:r>
      <w:r>
        <w:rPr>
          <w:rFonts w:ascii="Arial" w:hAnsi="Arial" w:cs="Arial" w:eastAsia="Arial"/>
          <w:b w:val="0"/>
          <w:i w:val="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8E6C9"/>
          <w:bottom w:val="single" w:sz="4" w:space="0" w:color="C8E6C9"/>
          <w:right w:val="single" w:sz="4" w:space="0" w:color="C8E6C9"/>
          <w:left w:val="single" w:sz="24" w:space="0" w:color="1B5E20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1F8E9"/>
            <w:tcMar>
              <w:top w:w="80" w:type="dxa"/>
              <w:bottom w:w="8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/>
                <w:color w:val="33691E"/>
                <w:sz w:val="20"/>
              </w:rPr>
              <w:t>Approval required: A Team Lead or Product Owner confirms the RAID closure before the ticket is unblocked. The approver must be independent of the person who raised the issue.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4.7  Step 7 — Risk Acceptance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 xml:space="preserve">Where an issue cannot be resolved — most commonly when data quality is below the </w:t>
      </w:r>
      <w:r>
        <w:rPr>
          <w:rFonts w:ascii="Arial" w:hAnsi="Arial" w:cs="Arial" w:eastAsia="Arial"/>
          <w:b/>
          <w:i w:val="0"/>
          <w:sz w:val="21"/>
        </w:rPr>
        <w:t>95% threshold</w:t>
      </w:r>
      <w:r>
        <w:rPr>
          <w:rFonts w:ascii="Arial" w:hAnsi="Arial" w:cs="Arial" w:eastAsia="Arial"/>
          <w:b w:val="0"/>
          <w:i w:val="0"/>
          <w:sz w:val="21"/>
        </w:rPr>
        <w:t xml:space="preserve"> and the business cannot provide the data — the gap is </w:t>
      </w:r>
      <w:r>
        <w:rPr>
          <w:rFonts w:ascii="Arial" w:hAnsi="Arial" w:cs="Arial" w:eastAsia="Arial"/>
          <w:b/>
          <w:i w:val="0"/>
          <w:sz w:val="21"/>
        </w:rPr>
        <w:t>formally risk-accepted by all key stakeholders</w:t>
      </w:r>
      <w:r>
        <w:rPr>
          <w:rFonts w:ascii="Arial" w:hAnsi="Arial" w:cs="Arial" w:eastAsia="Arial"/>
          <w:b w:val="0"/>
          <w:i w:val="0"/>
          <w:sz w:val="21"/>
        </w:rPr>
        <w:t xml:space="preserve">. The ticket transitions to </w:t>
      </w:r>
      <w:r>
        <w:rPr>
          <w:rFonts w:ascii="Arial" w:hAnsi="Arial" w:cs="Arial" w:eastAsia="Arial"/>
          <w:b/>
          <w:i w:val="0"/>
          <w:sz w:val="21"/>
        </w:rPr>
        <w:t>NOT AVAILABLE</w:t>
      </w:r>
      <w:r>
        <w:rPr>
          <w:rFonts w:ascii="Arial" w:hAnsi="Arial" w:cs="Arial" w:eastAsia="Arial"/>
          <w:b w:val="0"/>
          <w:i w:val="0"/>
          <w:sz w:val="21"/>
        </w:rPr>
        <w:t xml:space="preserve">, which triggers the </w:t>
      </w:r>
      <w:r>
        <w:rPr>
          <w:rFonts w:ascii="Arial" w:hAnsi="Arial" w:cs="Arial" w:eastAsia="Arial"/>
          <w:b/>
          <w:i w:val="0"/>
          <w:sz w:val="21"/>
        </w:rPr>
        <w:t>higher risk rating</w:t>
      </w:r>
      <w:r>
        <w:rPr>
          <w:rFonts w:ascii="Arial" w:hAnsi="Arial" w:cs="Arial" w:eastAsia="Arial"/>
          <w:b w:val="0"/>
          <w:i w:val="0"/>
          <w:sz w:val="21"/>
        </w:rPr>
        <w:t xml:space="preserve"> for the impacted AU. This is a deliberate control: routing an unresolved data gap to NOT AVAILABLE prevents the artificial suppression of Inherent Risk that would occur if the metric were simply dropped.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8E6C9"/>
          <w:bottom w:val="single" w:sz="4" w:space="0" w:color="C8E6C9"/>
          <w:right w:val="single" w:sz="4" w:space="0" w:color="C8E6C9"/>
          <w:left w:val="single" w:sz="24" w:space="0" w:color="1B5E20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1F8E9"/>
            <w:tcMar>
              <w:top w:w="80" w:type="dxa"/>
              <w:bottom w:w="8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/>
                <w:color w:val="33691E"/>
                <w:sz w:val="20"/>
              </w:rPr>
              <w:t>Approval required: Risk acceptance must be signed off by all key stakeholders, including the Product Owner and 2LOD. The risk-acceptance record is an audit artifact.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4.8  Step 8 — Decommissioning &amp; Sign-Off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 xml:space="preserve">Metrics, AUs, or Work Packages that are retired or no longer applicable must be transitioned to </w:t>
      </w:r>
      <w:r>
        <w:rPr>
          <w:rFonts w:ascii="Arial" w:hAnsi="Arial" w:cs="Arial" w:eastAsia="Arial"/>
          <w:b/>
          <w:i w:val="0"/>
          <w:sz w:val="21"/>
        </w:rPr>
        <w:t>NO LONGER REQUIRED</w:t>
      </w:r>
      <w:r>
        <w:rPr>
          <w:rFonts w:ascii="Arial" w:hAnsi="Arial" w:cs="Arial" w:eastAsia="Arial"/>
          <w:b w:val="0"/>
          <w:i w:val="0"/>
          <w:sz w:val="21"/>
        </w:rPr>
        <w:t xml:space="preserve"> or </w:t>
      </w:r>
      <w:r>
        <w:rPr>
          <w:rFonts w:ascii="Arial" w:hAnsi="Arial" w:cs="Arial" w:eastAsia="Arial"/>
          <w:b/>
          <w:i w:val="0"/>
          <w:sz w:val="21"/>
        </w:rPr>
        <w:t>NOT APPLICABLE</w:t>
      </w:r>
      <w:r>
        <w:rPr>
          <w:rFonts w:ascii="Arial" w:hAnsi="Arial" w:cs="Arial" w:eastAsia="Arial"/>
          <w:b w:val="0"/>
          <w:i w:val="0"/>
          <w:sz w:val="21"/>
        </w:rPr>
        <w:t xml:space="preserve"> in Jira, and the change logged in the SOW change log. Retired scope is never deleted, so historical traceability is preserved for audit.</w:t>
      </w:r>
    </w:p>
    <w:p>
      <w:pPr>
        <w:keepNext/>
        <w:spacing w:before="320" w:after="120"/>
        <w:pBdr>
          <w:bottom w:val="single" w:sz="6" w:space="4" w:color="1B5E20"/>
        </w:pBdr>
      </w:pPr>
      <w:r>
        <w:rPr>
          <w:rFonts w:ascii="Arial" w:hAnsi="Arial" w:cs="Arial" w:eastAsia="Arial"/>
          <w:b/>
          <w:i w:val="0"/>
          <w:color w:val="1B5E20"/>
          <w:sz w:val="32"/>
        </w:rPr>
        <w:t>5.  Jira Workflow States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The following Jira states are used in the governance process: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260"/>
        <w:gridCol w:w="6100"/>
      </w:tblGrid>
      <w:tr>
        <w:tc>
          <w:tcPr>
            <w:tcW w:type="dxa" w:w="326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20"/>
              </w:rPr>
              <w:t>Jira State</w:t>
            </w:r>
          </w:p>
        </w:tc>
        <w:tc>
          <w:tcPr>
            <w:tcW w:type="dxa" w:w="610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20"/>
              </w:rPr>
              <w:t>Meaning in Governance Context</w:t>
            </w:r>
          </w:p>
        </w:tc>
      </w:tr>
      <w:tr>
        <w:tc>
          <w:tcPr>
            <w:tcW w:type="dxa" w:w="32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BUSINESS LOGIC DESIGN DEF</w:t>
            </w:r>
          </w:p>
        </w:tc>
        <w:tc>
          <w:tcPr>
            <w:tcW w:type="dxa" w:w="6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Business-logic / scoping / methodology decision raised and documented.</w:t>
            </w:r>
          </w:p>
        </w:tc>
      </w:tr>
      <w:tr>
        <w:tc>
          <w:tcPr>
            <w:tcW w:type="dxa" w:w="32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BUSINESS LOGIC SEMANTIC</w:t>
            </w:r>
          </w:p>
        </w:tc>
        <w:tc>
          <w:tcPr>
            <w:tcW w:type="dxa" w:w="6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Semantic refinement of a logged business-logic decision.</w:t>
            </w:r>
          </w:p>
        </w:tc>
      </w:tr>
      <w:tr>
        <w:tc>
          <w:tcPr>
            <w:tcW w:type="dxa" w:w="32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METRIC DEFINITION CLARIFICATION</w:t>
            </w:r>
          </w:p>
        </w:tc>
        <w:tc>
          <w:tcPr>
            <w:tcW w:type="dxa" w:w="6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An ambiguity or assumption is being formally clarified and recorded.</w:t>
            </w:r>
          </w:p>
        </w:tc>
      </w:tr>
      <w:tr>
        <w:tc>
          <w:tcPr>
            <w:tcW w:type="dxa" w:w="32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BAU CDE DOCUMENTATION</w:t>
            </w:r>
          </w:p>
        </w:tc>
        <w:tc>
          <w:tcPr>
            <w:tcW w:type="dxa" w:w="6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 BAU CDE assumption / definition is documented.</w:t>
            </w:r>
          </w:p>
        </w:tc>
      </w:tr>
      <w:tr>
        <w:tc>
          <w:tcPr>
            <w:tcW w:type="dxa" w:w="32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BLOCKED</w:t>
            </w:r>
          </w:p>
        </w:tc>
        <w:tc>
          <w:tcPr>
            <w:tcW w:type="dxa" w:w="6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Issue raised; metric cannot proceed. Requires a matching RAID log entry.</w:t>
            </w:r>
          </w:p>
        </w:tc>
      </w:tr>
      <w:tr>
        <w:tc>
          <w:tcPr>
            <w:tcW w:type="dxa" w:w="32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READY FOR FINAL REVIEW</w:t>
            </w:r>
          </w:p>
        </w:tc>
        <w:tc>
          <w:tcPr>
            <w:tcW w:type="dxa" w:w="6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Issue resolved and RAID-closed; ticket has left BLOCKED.</w:t>
            </w:r>
          </w:p>
        </w:tc>
      </w:tr>
      <w:tr>
        <w:tc>
          <w:tcPr>
            <w:tcW w:type="dxa" w:w="32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NOT AVAILABLE</w:t>
            </w:r>
          </w:p>
        </w:tc>
        <w:tc>
          <w:tcPr>
            <w:tcW w:type="dxa" w:w="6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Data below threshold, formally risk-accepted. Triggers a higher AU risk rating.</w:t>
            </w:r>
          </w:p>
        </w:tc>
      </w:tr>
      <w:tr>
        <w:tc>
          <w:tcPr>
            <w:tcW w:type="dxa" w:w="32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NO LONGER REQUIRED</w:t>
            </w:r>
          </w:p>
        </w:tc>
        <w:tc>
          <w:tcPr>
            <w:tcW w:type="dxa" w:w="6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Scope retired / cancelled. Historical traceability preserved.</w:t>
            </w:r>
          </w:p>
        </w:tc>
      </w:tr>
      <w:tr>
        <w:tc>
          <w:tcPr>
            <w:tcW w:type="dxa" w:w="32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NOT APPLICABLE</w:t>
            </w:r>
          </w:p>
        </w:tc>
        <w:tc>
          <w:tcPr>
            <w:tcW w:type="dxa" w:w="61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Metric / AU is not applicable to the unit (e.g., CTR/LCTR for a unit with no cash in/out).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4" w:color="1B5E20"/>
        </w:pBdr>
      </w:pPr>
      <w:r>
        <w:rPr>
          <w:rFonts w:ascii="Arial" w:hAnsi="Arial" w:cs="Arial" w:eastAsia="Arial"/>
          <w:b/>
          <w:i w:val="0"/>
          <w:color w:val="1B5E20"/>
          <w:sz w:val="32"/>
        </w:rPr>
        <w:t>6.  Roles &amp; Responsibilities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20"/>
              </w:rPr>
              <w:t>Role</w:t>
            </w:r>
          </w:p>
        </w:tc>
        <w:tc>
          <w:tcPr>
            <w:tcW w:type="dxa" w:w="666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20"/>
              </w:rPr>
              <w:t>Responsibilities</w:t>
            </w:r>
          </w:p>
        </w:tc>
      </w:tr>
      <w:tr>
        <w:tc>
          <w:tcPr>
            <w:tcW w:type="dxa" w:w="2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Decision &amp; Assumption Owner</w:t>
            </w:r>
          </w:p>
        </w:tc>
        <w:tc>
          <w:tcPr>
            <w:tcW w:type="dxa" w:w="6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Capture all decisions and assumptions in Jira in the correct states (Steps 1–2).</w:t>
            </w:r>
          </w:p>
        </w:tc>
      </w:tr>
      <w:tr>
        <w:tc>
          <w:tcPr>
            <w:tcW w:type="dxa" w:w="2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Issue / RAID Owner</w:t>
            </w:r>
          </w:p>
        </w:tc>
        <w:tc>
          <w:tcPr>
            <w:tcW w:type="dxa" w:w="6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Log issues to BLOCKED + RAID, classify severity P1/P2/P3 (Steps 3–4).</w:t>
            </w:r>
          </w:p>
        </w:tc>
      </w:tr>
      <w:tr>
        <w:tc>
          <w:tcPr>
            <w:tcW w:type="dxa" w:w="2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Escalation Owner</w:t>
            </w:r>
          </w:p>
        </w:tc>
        <w:tc>
          <w:tcPr>
            <w:tcW w:type="dxa" w:w="6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Drive the escalation matrix; record escalations and 2LOD notification (Step 5).</w:t>
            </w:r>
          </w:p>
        </w:tc>
      </w:tr>
      <w:tr>
        <w:tc>
          <w:tcPr>
            <w:tcW w:type="dxa" w:w="2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Resolution Owner</w:t>
            </w:r>
          </w:p>
        </w:tc>
        <w:tc>
          <w:tcPr>
            <w:tcW w:type="dxa" w:w="6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Confirm RAID closure and unblock the ticket (Step 6).</w:t>
            </w:r>
          </w:p>
        </w:tc>
      </w:tr>
      <w:tr>
        <w:tc>
          <w:tcPr>
            <w:tcW w:type="dxa" w:w="2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Approver</w:t>
            </w:r>
          </w:p>
        </w:tc>
        <w:tc>
          <w:tcPr>
            <w:tcW w:type="dxa" w:w="6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Team Lead or Product Owner confirms unblocking (Step 6); key stakeholders incl. Product Owner and 2LOD sign off risk acceptance (Step 7). Approver is independent of the issue raiser.</w:t>
            </w:r>
          </w:p>
        </w:tc>
      </w:tr>
      <w:tr>
        <w:tc>
          <w:tcPr>
            <w:tcW w:type="dxa" w:w="2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Developer</w:t>
            </w:r>
          </w:p>
        </w:tc>
        <w:tc>
          <w:tcPr>
            <w:tcW w:type="dxa" w:w="6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Raise issues promptly with full detail; provide information needed to resolve.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4" w:color="1B5E20"/>
        </w:pBdr>
      </w:pPr>
      <w:r>
        <w:rPr>
          <w:rFonts w:ascii="Arial" w:hAnsi="Arial" w:cs="Arial" w:eastAsia="Arial"/>
          <w:b/>
          <w:i w:val="0"/>
          <w:color w:val="1B5E20"/>
          <w:sz w:val="32"/>
        </w:rPr>
        <w:t>7.  Evidence &amp; Audit Trail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The following artifacts constitute the audit evidence that this governance process was followed: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700"/>
        <w:gridCol w:w="2660"/>
      </w:tblGrid>
      <w:tr>
        <w:tc>
          <w:tcPr>
            <w:tcW w:type="dxa" w:w="300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20"/>
              </w:rPr>
              <w:t>Artifact</w:t>
            </w:r>
          </w:p>
        </w:tc>
        <w:tc>
          <w:tcPr>
            <w:tcW w:type="dxa" w:w="370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20"/>
              </w:rPr>
              <w:t>What It Proves</w:t>
            </w:r>
          </w:p>
        </w:tc>
        <w:tc>
          <w:tcPr>
            <w:tcW w:type="dxa" w:w="2660"/>
            <w:shd w:val="clear" w:color="auto" w:fill="C8E6C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color w:val="145214"/>
                <w:sz w:val="20"/>
              </w:rPr>
              <w:t>Where Stored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Jira decision tickets</w:t>
            </w:r>
          </w:p>
        </w:tc>
        <w:tc>
          <w:tcPr>
            <w:tcW w:type="dxa" w:w="3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Decisions were logged in-band with full notes</w:t>
            </w:r>
          </w:p>
        </w:tc>
        <w:tc>
          <w:tcPr>
            <w:tcW w:type="dxa" w:w="2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Jira — FY25 RA CYCLE - DATA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Assumption log</w:t>
            </w:r>
          </w:p>
        </w:tc>
        <w:tc>
          <w:tcPr>
            <w:tcW w:type="dxa" w:w="3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Ambiguities and proxy assumptions were formally recorded</w:t>
            </w:r>
          </w:p>
        </w:tc>
        <w:tc>
          <w:tcPr>
            <w:tcW w:type="dxa" w:w="2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Jira — METRIC DEFINITION CLARIFICATION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RAID log entries</w:t>
            </w:r>
          </w:p>
        </w:tc>
        <w:tc>
          <w:tcPr>
            <w:tcW w:type="dxa" w:w="3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Issues were logged with impact and dependency detail</w:t>
            </w:r>
          </w:p>
        </w:tc>
        <w:tc>
          <w:tcPr>
            <w:tcW w:type="dxa" w:w="2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RAID Log (Jira)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BLOCKED Jira tickets</w:t>
            </w:r>
          </w:p>
        </w:tc>
        <w:tc>
          <w:tcPr>
            <w:tcW w:type="dxa" w:w="3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Blocked metrics were flagged and could not silently proceed</w:t>
            </w:r>
          </w:p>
        </w:tc>
        <w:tc>
          <w:tcPr>
            <w:tcW w:type="dxa" w:w="2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Jira — ticket state history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Severity classification</w:t>
            </w:r>
          </w:p>
        </w:tc>
        <w:tc>
          <w:tcPr>
            <w:tcW w:type="dxa" w:w="3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Issues were prioritized consistently (P1/P2/P3)</w:t>
            </w:r>
          </w:p>
        </w:tc>
        <w:tc>
          <w:tcPr>
            <w:tcW w:type="dxa" w:w="2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RAID Log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Escalation records + 2LOD notification</w:t>
            </w:r>
          </w:p>
        </w:tc>
        <w:tc>
          <w:tcPr>
            <w:tcW w:type="dxa" w:w="3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Unresolved issues were escalated through the matrix</w:t>
            </w:r>
          </w:p>
        </w:tc>
        <w:tc>
          <w:tcPr>
            <w:tcW w:type="dxa" w:w="2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Jira comments; RAID Log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RAID closure records</w:t>
            </w:r>
          </w:p>
        </w:tc>
        <w:tc>
          <w:tcPr>
            <w:tcW w:type="dxa" w:w="3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Issues were formally resolved before unblocking</w:t>
            </w:r>
          </w:p>
        </w:tc>
        <w:tc>
          <w:tcPr>
            <w:tcW w:type="dxa" w:w="2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RAID Log; Jira state transition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Risk-acceptance record</w:t>
            </w:r>
          </w:p>
        </w:tc>
        <w:tc>
          <w:tcPr>
            <w:tcW w:type="dxa" w:w="3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Below-threshold data was formally accepted by stakeholders</w:t>
            </w:r>
          </w:p>
        </w:tc>
        <w:tc>
          <w:tcPr>
            <w:tcW w:type="dxa" w:w="2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Jira NOT AVAILABLE state; sign-off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Decommissioning transitions + SOW change log</w:t>
            </w:r>
          </w:p>
        </w:tc>
        <w:tc>
          <w:tcPr>
            <w:tcW w:type="dxa" w:w="370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Retired scope was transitioned, not deleted</w:t>
            </w:r>
          </w:p>
        </w:tc>
        <w:tc>
          <w:tcPr>
            <w:tcW w:type="dxa" w:w="2660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Jira; SOW v1.32 change log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4" w:color="1B5E20"/>
        </w:pBdr>
      </w:pPr>
      <w:r>
        <w:rPr>
          <w:rFonts w:ascii="Arial" w:hAnsi="Arial" w:cs="Arial" w:eastAsia="Arial"/>
          <w:b/>
          <w:i w:val="0"/>
          <w:color w:val="1B5E20"/>
          <w:sz w:val="32"/>
        </w:rPr>
        <w:t>8.  Constraints, Assumptions &amp; Escalation</w:t>
      </w: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8.1  Constraints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A BLOCKED ticket may not leave the BLOCKED state until the corresponding RAID item is Closed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Risk acceptance cannot be self-approved — it requires sign-off from key stakeholders including 2LOD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Retired metrics/AUs must be transitioned to NO LONGER REQUIRED or NOT APPLICABLE, never deleted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A decision or assumption that is not in Jira is not authoritative</w:t>
      </w: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color w:val="1B5E20"/>
          <w:sz w:val="26"/>
        </w:rPr>
        <w:t>8.2  Escalation Path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1"/>
        </w:rPr>
        <w:t>If an issue is blocked or cannot be resolved within SLA: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Developer raises the BLOCKED ticket and RAID log entry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Team Lead notified — drives resolution within the severity SLA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Project Manager engaged if unresolved after Team Lead review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Business Stakeholders / 2LOD notified for systemic (P1) issues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8E6C9"/>
          <w:bottom w:val="single" w:sz="4" w:space="0" w:color="C8E6C9"/>
          <w:right w:val="single" w:sz="4" w:space="0" w:color="C8E6C9"/>
          <w:left w:val="single" w:sz="24" w:space="0" w:color="1B5E20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1F8E9"/>
            <w:tcMar>
              <w:top w:w="80" w:type="dxa"/>
              <w:bottom w:w="8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/>
            <w:r>
              <w:rPr>
                <w:rFonts w:ascii="Arial" w:hAnsi="Arial" w:cs="Arial" w:eastAsia="Arial"/>
                <w:b w:val="0"/>
                <w:i/>
                <w:color w:val="33691E"/>
                <w:sz w:val="20"/>
              </w:rPr>
              <w:t>All escalations must be documented in the Jira ticket comments and the RAID log — verbal escalations alone are not sufficient for audit purposes.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6" w:space="4" w:color="1B5E20"/>
        </w:pBdr>
      </w:pPr>
      <w:r>
        <w:rPr>
          <w:rFonts w:ascii="Arial" w:hAnsi="Arial" w:cs="Arial" w:eastAsia="Arial"/>
          <w:b/>
          <w:i w:val="0"/>
          <w:color w:val="1B5E20"/>
          <w:sz w:val="32"/>
        </w:rPr>
        <w:t>9.  Related Documents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QA &amp; Governance Standard SOP v2.1 — SharePoint: 02 - Validation &amp; QA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Change Management and Version Control SOP v1.1 — SharePoint: 06 - Change Management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Delivery Process SOP v2.1 — SharePoint: 01 - Delivery Process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Data Sourcing &amp; Lineage SOP v2.1 — SharePoint: 03 - Data Sourcing &amp; Lineage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Statement of Work v1.32 (Richard Ng) — SharePoint: 00 - Audit Navigation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RAID Log — Jira (FY25 RA CYCLE - DATA)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1"/>
        </w:rPr>
        <w:t>Audit Summary v1.3 — SharePoint: 00 - Audit Navigation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cs="Arial" w:eastAsia="Arial"/>
        <w:color w:val="595959"/>
        <w:sz w:val="17"/>
      </w:rPr>
      <w:t xml:space="preserve">Page </w:t>
    </w:r>
    <w:r>
      <w:rPr>
        <w:rFonts w:ascii="Arial" w:hAnsi="Arial" w:cs="Arial" w:eastAsia="Arial"/>
      </w:rPr>
      <w:fldChar w:fldCharType="begin"/>
      <w:instrText xml:space="preserve">PAGE</w:instrText>
      <w:fldChar w:fldCharType="end"/>
    </w:r>
    <w:r>
      <w:rPr>
        <w:rFonts w:ascii="Arial" w:hAnsi="Arial" w:cs="Arial" w:eastAsia="Arial"/>
        <w:color w:val="595959"/>
        <w:sz w:val="17"/>
      </w:rPr>
      <w:t xml:space="preserve"> of </w:t>
    </w:r>
    <w:r>
      <w:rPr>
        <w:rFonts w:ascii="Arial" w:hAnsi="Arial" w:cs="Arial" w:eastAsia="Arial"/>
      </w:rPr>
      <w:fldChar w:fldCharType="begin"/>
      <w:instrText xml:space="preserve">NUMPAGES</w:instrText>
      <w:fldChar w:fldCharType="end"/>
    </w:r>
    <w:r>
      <w:rPr>
        <w:rFonts w:ascii="Arial" w:hAnsi="Arial" w:cs="Arial" w:eastAsia="Arial"/>
        <w:color w:val="595959"/>
        <w:sz w:val="17"/>
      </w:rPr>
      <w:t xml:space="preserve">   |   FCRM Enterprise Risk Assessment Reporting Team   |  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tabs>
        <w:tab w:val="clear" w:pos="4680"/>
        <w:tab w:val="right" w:pos="9360"/>
      </w:tabs>
    </w:pPr>
    <w:r/>
    <w:r>
      <w:rPr>
        <w:rFonts w:ascii="Arial" w:hAnsi="Arial" w:cs="Arial" w:eastAsia="Arial"/>
        <w:b/>
        <w:i w:val="0"/>
        <w:color w:val="1B5E20"/>
        <w:sz w:val="18"/>
      </w:rPr>
      <w:t>FCRM Risk Assessment FY2025</w:t>
    </w:r>
    <w:r>
      <w:rPr>
        <w:rFonts w:ascii="Arial" w:hAnsi="Arial" w:cs="Arial" w:eastAsia="Arial"/>
      </w:rPr>
      <w:tab/>
    </w:r>
    <w:r>
      <w:rPr>
        <w:rFonts w:ascii="Arial" w:hAnsi="Arial" w:cs="Arial" w:eastAsia="Arial"/>
        <w:b w:val="0"/>
        <w:i w:val="0"/>
        <w:color w:val="595959"/>
        <w:sz w:val="18"/>
      </w:rPr>
      <w:t>Governance, Decision &amp; Issue Management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