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tbl>
      <w:tblPr>
        <w:tblW w:type="dxa" w:w="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1E7B3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TD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TD Bank Group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MCC Team — FCRM Risk Assessment FY2025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Standard Operating Procedure (SOP)</w:t>
      </w:r>
    </w:p>
    <w:p>
      <w:pPr>
        <w:pBdr>
          <w:bottom w:val="single" w:color="1E7B34" w:sz="12" w:space="4"/>
        </w:pBdr>
        <w:spacing w:after="200"/>
      </w:pPr>
      <w:r>
        <w:rPr>
          <w:rFonts w:ascii="Arial" w:cs="Arial" w:eastAsia="Arial" w:hAnsi="Arial"/>
          <w:b/>
          <w:bCs/>
          <w:color w:val="1E7B34"/>
          <w:sz w:val="40"/>
          <w:szCs w:val="40"/>
        </w:rPr>
        <w:t xml:space="preserve">Delivery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Delivery Process — Standard Operating Procedure</w:t>
            </w:r>
          </w:p>
        </w:tc>
      </w:tr>
      <w:tr>
        <w:tc>
          <w:tcPr>
            <w:tcW w:type="dxa" w:w="26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FCRM Enterprise Risk Assessment Reporting Team</w:t>
            </w:r>
          </w:p>
        </w:tc>
      </w:tr>
      <w:tr>
        <w:tc>
          <w:tcPr>
            <w:tcW w:type="dxa" w:w="26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Process Owners</w:t>
            </w:r>
          </w:p>
        </w:tc>
        <w:tc>
          <w:tcPr>
            <w:tcW w:type="dxa" w:w="67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MCC Team — Steps 1–5 (build); Steps 6–8 (validation &amp; delivery)</w:t>
            </w:r>
          </w:p>
        </w:tc>
      </w:tr>
      <w:tr>
        <w:tc>
          <w:tcPr>
            <w:tcW w:type="dxa" w:w="26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Target Audience</w:t>
            </w:r>
          </w:p>
        </w:tc>
        <w:tc>
          <w:tcPr>
            <w:tcW w:type="dxa" w:w="67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1LOD, 2LOD, 3LOD (Internal Audit), and Regulatory Reviewers</w:t>
            </w:r>
          </w:p>
        </w:tc>
      </w:tr>
      <w:tr>
        <w:tc>
          <w:tcPr>
            <w:tcW w:type="dxa" w:w="26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System of Record</w:t>
            </w:r>
          </w:p>
        </w:tc>
        <w:tc>
          <w:tcPr>
            <w:tcW w:type="dxa" w:w="67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Jira (FY25 RA CYCLE - DATA) + GitHub + SharePoint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 Purpose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SOP defines the standard delivery process used by the MCC Team to produce the FY2025 Anti-Money Laundering (AML) and Sanctions Enterprise Risk Assessment (RA) metric outputs, from intake request through final delivery.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It sets out the sequence of process steps, their owners, inputs, actions, outputs, approvals, and supporting evidence, so that delivery is consistent, traceable, independently reviewed, and audit-ready across all Assessable Units (AUs) and Work Packages.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 Scope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SOP applies to the end-to-end delivery of FY2025 RA metric outputs across the following control areas: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Requirement Definition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Data Acquisition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Logic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Change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Delivery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Business as Usual (BAU)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Coverage runs from the intake request through validated, approved, and delivered metric outputs, as detailed in Section 4.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Process Owner — Steps 1–5</w:t>
            </w:r>
          </w:p>
        </w:tc>
        <w:tc>
          <w:tcPr>
            <w:tcW w:type="dxa" w:w="63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Owns intake, scope and requirement definition, data acquisition, logic build, and technical specifications.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Process Owner — Steps 6–8</w:t>
            </w:r>
          </w:p>
        </w:tc>
        <w:tc>
          <w:tcPr>
            <w:tcW w:type="dxa" w:w="63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Owns output validation, approval coordination, and delivery / document output.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First Line of Defence (1LOD) / Business</w:t>
            </w:r>
          </w:p>
        </w:tc>
        <w:tc>
          <w:tcPr>
            <w:tcW w:type="dxa" w:w="63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Provides business requirements and Critical Data Elements; approves business logic, queries, and metric definitions.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Product Owner / Approver</w:t>
            </w:r>
          </w:p>
        </w:tc>
        <w:tc>
          <w:tcPr>
            <w:tcW w:type="dxa" w:w="63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Provides PO Concurrence and transitions Jira to PO APPROVED. Must be independent of the preparer; approver must be AVP or higher.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Business Analyst (BA)</w:t>
            </w:r>
          </w:p>
        </w:tc>
        <w:tc>
          <w:tcPr>
            <w:tcW w:type="dxa" w:w="63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Provides BA approval via email, retained in the AVP Approval emails folder.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ERA / FCRM</w:t>
            </w:r>
          </w:p>
        </w:tc>
        <w:tc>
          <w:tcPr>
            <w:tcW w:type="dxa" w:w="63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Source of risk-assessment requirements captured in the DCT.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 Process Steps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Delivery Process comprises eight sequential steps. Steps 1–5 cover requirement definition through build and technical specification; Steps 6–8 cover validation, approval, and delivery.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340"/>
        <w:gridCol w:w="2100"/>
        <w:gridCol w:w="3100"/>
      </w:tblGrid>
      <w:tr>
        <w:trPr>
          <w:tblHeader/>
        </w:trPr>
        <w:tc>
          <w:tcPr>
            <w:tcW w:type="dxa" w:w="82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0"/>
                <w:szCs w:val="20"/>
              </w:rPr>
              <w:t xml:space="preserve">Step #</w:t>
            </w:r>
          </w:p>
        </w:tc>
        <w:tc>
          <w:tcPr>
            <w:tcW w:type="dxa" w:w="334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0"/>
                <w:szCs w:val="20"/>
              </w:rPr>
              <w:t xml:space="preserve">Step Name</w:t>
            </w:r>
          </w:p>
        </w:tc>
        <w:tc>
          <w:tcPr>
            <w:tcW w:type="dxa" w:w="21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0"/>
                <w:szCs w:val="20"/>
              </w:rPr>
              <w:t xml:space="preserve">Owner</w:t>
            </w:r>
          </w:p>
        </w:tc>
        <w:tc>
          <w:tcPr>
            <w:tcW w:type="dxa" w:w="31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0"/>
                <w:szCs w:val="20"/>
              </w:rPr>
              <w:t xml:space="preserve">Primary Output(s)</w:t>
            </w:r>
          </w:p>
        </w:tc>
      </w:tr>
      <w:tr>
        <w:tc>
          <w:tcPr>
            <w:tcW w:type="dxa" w:w="82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34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Intake Request</w:t>
            </w:r>
          </w:p>
        </w:tc>
        <w:tc>
          <w:tcPr>
            <w:tcW w:type="dxa" w:w="21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31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intake ticket; CDE list</w:t>
            </w:r>
          </w:p>
        </w:tc>
      </w:tr>
      <w:tr>
        <w:tc>
          <w:tcPr>
            <w:tcW w:type="dxa" w:w="82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34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/ Requirement Definition</w:t>
            </w:r>
          </w:p>
        </w:tc>
        <w:tc>
          <w:tcPr>
            <w:tcW w:type="dxa" w:w="21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31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&amp; Requirements Document</w:t>
            </w:r>
          </w:p>
        </w:tc>
      </w:tr>
      <w:tr>
        <w:tc>
          <w:tcPr>
            <w:tcW w:type="dxa" w:w="82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34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Acquisition</w:t>
            </w:r>
          </w:p>
        </w:tc>
        <w:tc>
          <w:tcPr>
            <w:tcW w:type="dxa" w:w="21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31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 datasets in CA AZ</w:t>
            </w:r>
          </w:p>
        </w:tc>
      </w:tr>
      <w:tr>
        <w:tc>
          <w:tcPr>
            <w:tcW w:type="dxa" w:w="82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34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Development (Build)</w:t>
            </w:r>
          </w:p>
        </w:tc>
        <w:tc>
          <w:tcPr>
            <w:tcW w:type="dxa" w:w="21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31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Python-SQL code in Git; transform logic doc</w:t>
            </w:r>
          </w:p>
        </w:tc>
      </w:tr>
      <w:tr>
        <w:tc>
          <w:tcPr>
            <w:tcW w:type="dxa" w:w="82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34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Specifications (Build)</w:t>
            </w:r>
          </w:p>
        </w:tc>
        <w:tc>
          <w:tcPr>
            <w:tcW w:type="dxa" w:w="21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31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Source-to-report mapping; field-level lineage</w:t>
            </w:r>
          </w:p>
        </w:tc>
      </w:tr>
      <w:tr>
        <w:tc>
          <w:tcPr>
            <w:tcW w:type="dxa" w:w="82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34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Validation</w:t>
            </w:r>
          </w:p>
        </w:tc>
        <w:tc>
          <w:tcPr>
            <w:tcW w:type="dxa" w:w="21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31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validation &amp; reconciliation results</w:t>
            </w:r>
          </w:p>
        </w:tc>
      </w:tr>
      <w:tr>
        <w:tc>
          <w:tcPr>
            <w:tcW w:type="dxa" w:w="82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34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</w:t>
            </w:r>
          </w:p>
        </w:tc>
        <w:tc>
          <w:tcPr>
            <w:tcW w:type="dxa" w:w="21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31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APPROVED Jira; approval record; BA emails</w:t>
            </w:r>
          </w:p>
        </w:tc>
      </w:tr>
      <w:tr>
        <w:tc>
          <w:tcPr>
            <w:tcW w:type="dxa" w:w="82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34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/ Document Output</w:t>
            </w:r>
          </w:p>
        </w:tc>
        <w:tc>
          <w:tcPr>
            <w:tcW w:type="dxa" w:w="21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31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outputs in SharePoint; delivery confirmation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4.1  Step 1 — Intake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Process Owner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Business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CDE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 scope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Actions / Description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Raise intake request with purpose, AUs in scope, expected output and timelines. Identify Critical Data Elements (ERA / FCRM / Business). Perform initial review (1a / 1b / BAs). IR review and challenge with core business.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Outputs / Deliverables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Jira intake ticket (Procedure)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Critical Data Elements (CDE) list (Template)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Initial review record (Procedure)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Evidence &amp; References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Jira Board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4.2  Step 2 — Scope / Requirement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Process Owner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Intake ticket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 list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Actions / Description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Identify and capture Critical Data Elements required to close the RA cycle for FY2025. Define scope boundaries. Business logic and queries approved by First Line.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Outputs / Deliverables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Scope &amp; Requirements Document (Guideline)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SOW reference (Guideline)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Evidence &amp; References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Scope and Requirements Document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Scope Statement of Work (Live)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FY25 Risk Assessment Inherent Risk – ABAC Workbook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4.3  Step 3 — Data Acquisition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Process Owner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Approved scope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Rahona / ADIDO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PIA approvals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Actions / Description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Source data from Rahona (20 sources) and ADIDO (73 sources). Load to Canada Analytical Zone (CA AZ). Validate data integrity and completeness post-extraction.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Outputs / Deliverables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Extracted dataset files (.csv / .parquet) in CA AZ (Procedure)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Extraction scripts (Procedure)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Evidence &amp; References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Notebooks or Extraction Scripts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Master_Data_source_FY2025_Segment.xlsx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4.4  Step 4 — Logic Development (Build)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Process Owner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Extracted datasets in CA AZ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Metric definitions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Business logic approved by 1LOD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Actions / Description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Python-SQL queries, joins, filters, and aggregations. Define and generate output. Document logic and transformations.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Outputs / Deliverables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Python-SQL code in Git (Procedure)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Jira ticket in BUILD IN PROGRESS (Procedure)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Transform logic documentation (Procedure)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Evidence &amp; References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Notebooks or Code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DCT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4.5  Step 5 — Technical Specifications (Build)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Process Owner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Metric definitions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Lineage requirements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Actions / Description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Document technical specifications including transformation logic, field-level mapping, and data lineage from source to output.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Outputs / Deliverables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Source-to-report mapping (Procedure)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Field-level lineage (Procedure)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Evidence &amp; References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Notebooks or Code Files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4.6  Step 6 — Output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Process Owner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outputs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Expected metric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Validation criteria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Actions / Description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Validate output against expected results with the business team. Cross-check with source data. Verify format and structure meet regulatory requirements.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Outputs / Deliverables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Output validation report (Template)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Reconciliation results (Procedure)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Evidence &amp; References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DEV Query Static Sheet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4.7  Step 7 —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Process Owner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Validated outputs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Completed validation checklist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Actions / Description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Obtain PO Concurrence. Transition Jira to PO APPROVED. Reviewers must be independent of the preparer. Approver must be AVP or higher. BA approval via email.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Outputs / Deliverables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Jira ticket in PO APPROVED state (Procedure)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Approval record (Approval)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 Emails (Approval)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Evidence &amp; References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Jira 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AVP Approval emails folder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4.8  Step 8 — Delivery / Document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Process Owner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Deployed outputs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Actions / Description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Deliver final metric outputs. Document results. Store in SharePoint. Confirm delivery with stakeholders.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Outputs / Deliverables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Final output files (Procedure)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Delivery confirmation (Approval)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Output documentation (Template)</w:t>
            </w:r>
          </w:p>
        </w:tc>
      </w:tr>
      <w:tr>
        <w:tc>
          <w:tcPr>
            <w:tcW w:type="dxa" w:w="220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45214"/>
                <w:sz w:val="21"/>
                <w:szCs w:val="21"/>
              </w:rPr>
              <w:t xml:space="preserve">Evidence &amp; References</w:t>
            </w:r>
          </w:p>
        </w:tc>
        <w:tc>
          <w:tcPr>
            <w:tcW w:type="dxa" w:w="7160"/>
            <w:tcBorders>
              <w:top w:val="single" w:color="BFD8C2" w:sz="4"/>
              <w:left w:val="single" w:color="BFD8C2" w:sz="4"/>
              <w:bottom w:val="single" w:color="BFD8C2" w:sz="4"/>
              <w:right w:val="single" w:color="BFD8C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Metrics Delivered to IARAT</w:t>
            </w:r>
          </w:p>
        </w:tc>
      </w:tr>
    </w:tbl>
    <w:p>
      <w:pPr>
        <w:spacing w:after="80"/>
      </w:pP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 Approvals and Segregation of Duties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PO Concurrence is obtained before delivery, and the Jira ticket is transitioned to PO APPROVED.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Reviewers must be independent of the preparer (segregation of duties).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The approver must be AVP or higher.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BA approval is captured via email and retained in the AVP Approval emails folder.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Jira (FY25 RA CYCLE - DATA) is the system of record for approval state.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 Evidence and References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following artifacts evidence the Delivery Process and are referenced in the steps above: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DCT — Data Collection Template (requirements and field-level detail).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Jira Board — FY25 RA CYCLE - DATA (intake, build, and approval states).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Scope &amp; Requirements Document; Scope Statement of Work (Live); FY25 Risk Assessment Inherent Risk – ABAC Workbook.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Notebooks / Extraction Scripts; Master_Data_source_FY2025_Segment.xlsx.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Python-SQL code in Git (GitHub — TD-Universe / RAFY2025_CA; audit record only, not used for deployment).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Source-to-report mapping and field-level lineage.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DEV Query Static Sheet; Output validation report; Reconciliation results.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AVP Approval emails folder; BA approval emails.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Final output files (SharePoint); Metrics Delivered to IARAT.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 Related Documents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Data Sourcing &amp; Lineage SOP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Validation &amp; QA SOP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Change Management &amp; Version Control SOP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Governance, Decision &amp; Issue Management SOP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Scope Statement of Work (Live)</w:t>
      </w:r>
    </w:p>
    <w:sectPr>
      <w:headerReference w:type="default" r:id="rId7"/>
      <w:footerReference w:type="default" r:id="rId8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707070"/>
        <w:sz w:val="16"/>
        <w:szCs w:val="16"/>
      </w:rPr>
      <w:t xml:space="preserve">Internal</w:t>
    </w:r>
    <w:r>
      <w:rPr>
        <w:rFonts w:ascii="Arial" w:cs="Arial" w:eastAsia="Arial" w:hAnsi="Arial"/>
        <w:color w:val="707070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7B34" w:sz="6" w:space="2"/>
      </w:pBdr>
      <w:tabs>
        <w:tab w:val="right" w:pos="9360"/>
      </w:tabs>
    </w:pPr>
    <w:r>
      <w:rPr>
        <w:rFonts w:ascii="Arial" w:cs="Arial" w:eastAsia="Arial" w:hAnsi="Arial"/>
        <w:color w:val="1E7B34"/>
        <w:sz w:val="16"/>
        <w:szCs w:val="16"/>
      </w:rPr>
      <w:t xml:space="preserve">FCRM Risk Assessment FY2025   |   Delivery Process — SOP</w:t>
    </w:r>
    <w:r>
      <w:rPr>
        <w:rFonts w:ascii="Arial" w:cs="Arial" w:eastAsia="Arial" w:hAnsi="Arial"/>
        <w:color w:val="707070"/>
        <w:sz w:val="16"/>
        <w:szCs w:val="16"/>
      </w:rPr>
      <w:t xml:space="preserve">	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2026-06-17T14:41:58.210Z</dcterms:created>
  <dcterms:modified xsi:type="dcterms:W3CDTF">2026-06-17T14:41:58.210Z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