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FCRM Risk Assessment FY2025</w:t>
      </w:r>
      <w:r>
        <w:t xml:space="preserve"> </w:t>
      </w:r>
      <w:r>
        <w:t xml:space="preserve">| Governance, Decision &amp; Issue Management SOP | Internal</w:t>
      </w:r>
    </w:p>
    <w:p>
      <w:pPr>
        <w:pStyle w:val="BodyText"/>
      </w:pPr>
      <w:r>
        <w:rPr>
          <w:bCs/>
          <w:b/>
        </w:rPr>
        <w:t xml:space="preserve">TD Bank Group</w:t>
      </w:r>
    </w:p>
    <w:p>
      <w:pPr>
        <w:pStyle w:val="BodyText"/>
      </w:pPr>
      <w:r>
        <w:t xml:space="preserve">MCC Team — FCRM Risk Assessment FY2025</w:t>
      </w:r>
    </w:p>
    <w:p>
      <w:pPr>
        <w:pStyle w:val="BodyText"/>
      </w:pPr>
      <w:r>
        <w:t xml:space="preserve">Standard Operating Procedure (SOP)</w:t>
      </w:r>
    </w:p>
    <w:p>
      <w:pPr>
        <w:pStyle w:val="BodyText"/>
      </w:pPr>
      <w:r>
        <w:rPr>
          <w:bCs/>
          <w:b/>
        </w:rPr>
        <w:t xml:space="preserve">Governance, Decision &amp; Issue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Governance, Decision &amp; Issue Management — Standard Operating Procedure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FCRM Enterprise Risk Assessment Reporting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1LOD, 2LOD, 3LOD (Internal Audit), and Regulatory Reviewers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of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(FY25 RA CYCLE - DATA) + RAID Log + SharePoint</w:t>
            </w:r>
          </w:p>
        </w:tc>
      </w:tr>
    </w:tbl>
    <w:bookmarkStart w:id="20" w:name="purpose"/>
    <w:p>
      <w:pPr>
        <w:pStyle w:val="Heading1"/>
      </w:pPr>
      <w:r>
        <w:rPr>
          <w:bCs/>
          <w:b/>
        </w:rPr>
        <w:t xml:space="preserve">1. Purpose</w:t>
      </w:r>
    </w:p>
    <w:p>
      <w:pPr>
        <w:pStyle w:val="FirstParagraph"/>
      </w:pPr>
      <w:r>
        <w:t xml:space="preserve">This SOP defines the mandatory governance, decision-logging, and issue-management procedures for the FY2025 Anti-Money Laundering (AML) and Sanctions Enterprise Risk Assessment (RA) process. It ensures that:</w:t>
      </w:r>
    </w:p>
    <w:p>
      <w:pPr>
        <w:numPr>
          <w:ilvl w:val="0"/>
          <w:numId w:val="1001"/>
        </w:numPr>
        <w:pStyle w:val="Compact"/>
      </w:pPr>
      <w:r>
        <w:t xml:space="preserve">every business-logic, scoping, and methodology decision is captured and traceable;</w:t>
      </w:r>
    </w:p>
    <w:p>
      <w:pPr>
        <w:numPr>
          <w:ilvl w:val="0"/>
          <w:numId w:val="1001"/>
        </w:numPr>
        <w:pStyle w:val="Compact"/>
      </w:pPr>
      <w:r>
        <w:t xml:space="preserve">every issue, blocker, or data-quality failure is logged, classified, escalated, and resolved through a controlled path; and</w:t>
      </w:r>
    </w:p>
    <w:p>
      <w:pPr>
        <w:numPr>
          <w:ilvl w:val="0"/>
          <w:numId w:val="1001"/>
        </w:numPr>
        <w:pStyle w:val="Compact"/>
      </w:pPr>
      <w:r>
        <w:t xml:space="preserve">data gaps below threshold are</w:t>
      </w:r>
      <w:r>
        <w:t xml:space="preserve"> </w:t>
      </w:r>
      <w:r>
        <w:rPr>
          <w:bCs/>
          <w:b/>
        </w:rPr>
        <w:t xml:space="preserve">formally risk-accepted by stakeholders rather than silently suppressed</w:t>
      </w:r>
      <w:r>
        <w:t xml:space="preserve">, so the Inherent Risk rating of an Assessable Unit (AU) is never artificially lowered.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Governance rule: All business logic and methodology decisions must be formally captured in Jira. Unlogged out-of-band decisions cannot be considered authoritative and will be flagged as audit findings.</w:t>
            </w:r>
          </w:p>
        </w:tc>
      </w:tr>
    </w:tbl>
    <w:bookmarkEnd w:id="20"/>
    <w:bookmarkStart w:id="21" w:name="scope"/>
    <w:p>
      <w:pPr>
        <w:pStyle w:val="Heading1"/>
      </w:pPr>
      <w:r>
        <w:rPr>
          <w:bCs/>
          <w:b/>
        </w:rPr>
        <w:t xml:space="preserve">2. Scope</w:t>
      </w:r>
    </w:p>
    <w:p>
      <w:pPr>
        <w:pStyle w:val="FirstParagraph"/>
      </w:pPr>
      <w:r>
        <w:t xml:space="preserve">This SOP applies to all governance activity performed by the MCC Team across the RA delivery cycle, covering:</w:t>
      </w:r>
    </w:p>
    <w:p>
      <w:pPr>
        <w:numPr>
          <w:ilvl w:val="0"/>
          <w:numId w:val="1002"/>
        </w:numPr>
        <w:pStyle w:val="Compact"/>
      </w:pPr>
      <w:r>
        <w:t xml:space="preserve">Business logic, scoping, and methodology decisions</w:t>
      </w:r>
    </w:p>
    <w:p>
      <w:pPr>
        <w:numPr>
          <w:ilvl w:val="0"/>
          <w:numId w:val="1002"/>
        </w:numPr>
        <w:pStyle w:val="Compact"/>
      </w:pPr>
      <w:r>
        <w:t xml:space="preserve">Assumptions, default thresholds, and proxy-data choices</w:t>
      </w:r>
    </w:p>
    <w:p>
      <w:pPr>
        <w:numPr>
          <w:ilvl w:val="0"/>
          <w:numId w:val="1002"/>
        </w:numPr>
        <w:pStyle w:val="Compact"/>
      </w:pPr>
      <w:r>
        <w:t xml:space="preserve">Issues, blockers, and data-quality failures</w:t>
      </w:r>
    </w:p>
    <w:p>
      <w:pPr>
        <w:numPr>
          <w:ilvl w:val="0"/>
          <w:numId w:val="1002"/>
        </w:numPr>
        <w:pStyle w:val="Compact"/>
      </w:pPr>
      <w:r>
        <w:t xml:space="preserve">Severity classification and escalation</w:t>
      </w:r>
    </w:p>
    <w:p>
      <w:pPr>
        <w:numPr>
          <w:ilvl w:val="0"/>
          <w:numId w:val="1002"/>
        </w:numPr>
        <w:pStyle w:val="Compact"/>
      </w:pPr>
      <w:r>
        <w:t xml:space="preserve">Resolution and unblocking</w:t>
      </w:r>
    </w:p>
    <w:p>
      <w:pPr>
        <w:numPr>
          <w:ilvl w:val="0"/>
          <w:numId w:val="1002"/>
        </w:numPr>
        <w:pStyle w:val="Compact"/>
      </w:pPr>
      <w:r>
        <w:t xml:space="preserve">Risk acceptance of data below the 95% data-quality threshold</w:t>
      </w:r>
    </w:p>
    <w:p>
      <w:pPr>
        <w:numPr>
          <w:ilvl w:val="0"/>
          <w:numId w:val="1002"/>
        </w:numPr>
        <w:pStyle w:val="Compact"/>
      </w:pPr>
      <w:r>
        <w:t xml:space="preserve">Decommissioning of retired metrics, AUs, or Work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Out of scope: Decisions owned by First Line (1LOD) business stakeholders, enterprise-level governance outside the RA data-delivery work, and changes to upstream source systems (Rahona, ADIDO).</w:t>
            </w:r>
          </w:p>
        </w:tc>
      </w:tr>
    </w:tbl>
    <w:bookmarkEnd w:id="21"/>
    <w:bookmarkStart w:id="22" w:name="key-principles"/>
    <w:p>
      <w:pPr>
        <w:pStyle w:val="Heading1"/>
      </w:pPr>
      <w:r>
        <w:rPr>
          <w:bCs/>
          <w:b/>
        </w:rPr>
        <w:t xml:space="preserve">3. Key Principles</w:t>
      </w:r>
    </w:p>
    <w:p>
      <w:pPr>
        <w:pStyle w:val="FirstParagraph"/>
      </w:pPr>
      <w:r>
        <w:t xml:space="preserve">The following principles govern all decision and issue-management activity:</w:t>
      </w:r>
    </w:p>
    <w:p>
      <w:pPr>
        <w:numPr>
          <w:ilvl w:val="0"/>
          <w:numId w:val="1003"/>
        </w:numPr>
        <w:pStyle w:val="Compact"/>
      </w:pPr>
      <w:r>
        <w:t xml:space="preserve">No decision is authoritative unless it is logged in Jira — out-of-band or verbal decisions are not permitted</w:t>
      </w:r>
    </w:p>
    <w:p>
      <w:pPr>
        <w:numPr>
          <w:ilvl w:val="0"/>
          <w:numId w:val="1003"/>
        </w:numPr>
        <w:pStyle w:val="Compact"/>
      </w:pPr>
      <w:r>
        <w:t xml:space="preserve">Every issue or blocker has both a Jira BLOCKED state and a corresponding RAID log entry</w:t>
      </w:r>
    </w:p>
    <w:p>
      <w:pPr>
        <w:numPr>
          <w:ilvl w:val="0"/>
          <w:numId w:val="1003"/>
        </w:numPr>
        <w:pStyle w:val="Compact"/>
      </w:pPr>
      <w:r>
        <w:t xml:space="preserve">Severity is classified consistently (P1 / P2 / P3) and drives escalation urgency</w:t>
      </w:r>
    </w:p>
    <w:p>
      <w:pPr>
        <w:numPr>
          <w:ilvl w:val="0"/>
          <w:numId w:val="1003"/>
        </w:numPr>
        <w:pStyle w:val="Compact"/>
      </w:pPr>
      <w:r>
        <w:t xml:space="preserve">Escalation follows the defined matrix; verbal escalations alone are not sufficient for audit</w:t>
      </w:r>
    </w:p>
    <w:p>
      <w:pPr>
        <w:numPr>
          <w:ilvl w:val="0"/>
          <w:numId w:val="1003"/>
        </w:numPr>
        <w:pStyle w:val="Compact"/>
      </w:pPr>
      <w:r>
        <w:t xml:space="preserve">An issue is considered resolved only when it is marked Closed in the RAID log</w:t>
      </w:r>
    </w:p>
    <w:p>
      <w:pPr>
        <w:numPr>
          <w:ilvl w:val="0"/>
          <w:numId w:val="1003"/>
        </w:numPr>
        <w:pStyle w:val="Compact"/>
      </w:pPr>
      <w:r>
        <w:t xml:space="preserve">Data below the 95% threshold is</w:t>
      </w:r>
      <w:r>
        <w:t xml:space="preserve"> </w:t>
      </w:r>
      <w:r>
        <w:rPr>
          <w:bCs/>
          <w:b/>
        </w:rPr>
        <w:t xml:space="preserve">formally risk-accepted by key stakeholders</w:t>
      </w:r>
      <w:r>
        <w:t xml:space="preserve"> </w:t>
      </w:r>
      <w:r>
        <w:t xml:space="preserve">— never silently dropped</w:t>
      </w:r>
    </w:p>
    <w:p>
      <w:pPr>
        <w:numPr>
          <w:ilvl w:val="0"/>
          <w:numId w:val="1003"/>
        </w:numPr>
        <w:pStyle w:val="Compact"/>
      </w:pPr>
      <w:r>
        <w:t xml:space="preserve">Retired scope is transitioned (NO LONGER REQUIRED / NOT APPLICABLE), not deleted — historical traceability is preserved</w:t>
      </w:r>
    </w:p>
    <w:bookmarkEnd w:id="22"/>
    <w:bookmarkStart w:id="31" w:name="process-steps"/>
    <w:p>
      <w:pPr>
        <w:pStyle w:val="Heading1"/>
      </w:pPr>
      <w:r>
        <w:rPr>
          <w:bCs/>
          <w:b/>
        </w:rPr>
        <w:t xml:space="preserve">4. Process Steps</w:t>
      </w:r>
    </w:p>
    <w:p>
      <w:pPr>
        <w:pStyle w:val="FirstParagraph"/>
      </w:pPr>
      <w:r>
        <w:t xml:space="preserve">The governance process consists of eight sequential steps. Steps 1–4 are owned by the Decision &amp; Issue owner; Steps 5–8 are owned by the Escalation &amp; Resolution owner.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 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Jira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 DESIGN DEF → BUSINESS LOGIC SEMANTIC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 discussions, methodology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all business logic, scoping, and methodological decisions in Jira. No out-of-band decisions.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ticket with full decision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Assumption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DEFINITION CLARIFICATION → BAU CDE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 requirements, proxy data, default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document ambiguities, default thresholds, and proxy-data assumptions; resolve in the relevant Jira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ticket, assumption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blockers, data issues, QA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metric cannot proceed (upstream QA failure, missing source), transition the ticket to BLOCKED and create a RAID log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 log entry, BLOCKED Jira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Severity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 issues in 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each issue: P1 = critical data gaps, P2 = systemic failures, P3 = localized logic discrepancies. Priority sets escalation urgency.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classification (P1/P2/P3) in RAID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Escalation Pathways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 BLOCKED issues beyond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the escalation matrix: Developer → Team Lead → Project Manager → Business Stakeholders / 2LOD. Categorize blocker type.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record, Jira comments, 2LOD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Resolution &amp; Unblocking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→ READY FOR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issues, RAID log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issue is Closed in the RAID log; only then transition the Jira ticket off BLOCKED.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 log closure record, Jira state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Unresolvable issues (data below threshold)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below threshold is formally risk-accepted by key stakeholders → NOT AVAILABLE → triggers the higher risk rating for the impacted AU.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AVAILABLE Jira state, risk-acceptance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Decommissioning &amp;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REQUIRED / 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Out-of-scope metrics, retired AUs, deprecated Work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retired scope to NO LONGER REQUIRED or NOT APPLICABLE; log in the SOW change log. Preserve historical traceability.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state transition, SOW change log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Start w:id="23" w:name="step-1-decision-logging"/>
    <w:p>
      <w:pPr>
        <w:pStyle w:val="Heading2"/>
      </w:pPr>
      <w:r>
        <w:rPr>
          <w:bCs/>
          <w:b/>
        </w:rPr>
        <w:t xml:space="preserve">4.1 Step 1 — Decision Logging</w:t>
      </w:r>
    </w:p>
    <w:p>
      <w:pPr>
        <w:pStyle w:val="FirstParagraph"/>
      </w:pPr>
      <w:r>
        <w:t xml:space="preserve">All business-logic, scoping, and methodological decisions must be captured in Jira in the</w:t>
      </w:r>
      <w:r>
        <w:t xml:space="preserve"> </w:t>
      </w:r>
      <w:r>
        <w:rPr>
          <w:bCs/>
          <w:b/>
        </w:rPr>
        <w:t xml:space="preserve">FY25 RA CYCLE - DATA</w:t>
      </w:r>
      <w:r>
        <w:t xml:space="preserve"> </w:t>
      </w:r>
      <w:r>
        <w:t xml:space="preserve">project. Initial business rules and metric definitions are formalized while the ticket is in</w:t>
      </w:r>
      <w:r>
        <w:t xml:space="preserve"> </w:t>
      </w:r>
      <w:r>
        <w:rPr>
          <w:bCs/>
          <w:b/>
        </w:rPr>
        <w:t xml:space="preserve">BUSINESS LOGIC DESIGN DEF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BUSINESS LOGIC SEMANTIC</w:t>
      </w:r>
      <w:r>
        <w:t xml:space="preserve"> </w:t>
      </w:r>
      <w:r>
        <w:t xml:space="preserve">states.</w:t>
      </w:r>
    </w:p>
    <w:p>
      <w:pPr>
        <w:pStyle w:val="BodyText"/>
      </w:pPr>
      <w:r>
        <w:t xml:space="preserve">The decision record must include what was decided, the rationale, who decided it, and the date.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Unlogged out-of-band decisions are not permitted. A decision that exists only in email, chat, or conversation is not authoritative and will be raised as an audit finding.</w:t>
            </w:r>
          </w:p>
        </w:tc>
      </w:tr>
    </w:tbl>
    <w:bookmarkEnd w:id="23"/>
    <w:bookmarkStart w:id="24" w:name="step-2-assumption-tracking"/>
    <w:p>
      <w:pPr>
        <w:pStyle w:val="Heading2"/>
      </w:pPr>
      <w:r>
        <w:rPr>
          <w:bCs/>
          <w:b/>
        </w:rPr>
        <w:t xml:space="preserve">4.2 Step 2 — Assumption Tracking</w:t>
      </w:r>
    </w:p>
    <w:p>
      <w:pPr>
        <w:pStyle w:val="FirstParagraph"/>
      </w:pPr>
      <w:r>
        <w:t xml:space="preserve">Ambiguities in requirements, default thresholds, and proxy-data assumptions must be formally documented and resolved while the ticket is in</w:t>
      </w:r>
      <w:r>
        <w:t xml:space="preserve"> </w:t>
      </w:r>
      <w:r>
        <w:rPr>
          <w:bCs/>
          <w:b/>
        </w:rPr>
        <w:t xml:space="preserve">METRIC DEFINITION CLARIFICATION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BAU CDE DOCUMENTATION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Each assumption record must state the ambiguity, the assumption made, the basis for it, and the resolution.</w:t>
      </w:r>
    </w:p>
    <w:bookmarkEnd w:id="24"/>
    <w:bookmarkStart w:id="25" w:name="step-3-issue-logging"/>
    <w:p>
      <w:pPr>
        <w:pStyle w:val="Heading2"/>
      </w:pPr>
      <w:r>
        <w:rPr>
          <w:bCs/>
          <w:b/>
        </w:rPr>
        <w:t xml:space="preserve">4.3 Step 3 — Issue Logging</w:t>
      </w:r>
    </w:p>
    <w:p>
      <w:pPr>
        <w:pStyle w:val="FirstParagraph"/>
      </w:pPr>
      <w:r>
        <w:t xml:space="preserve">When a metric cannot proceed — for example due to an upstream QA failure or a missing source file — the Jira ticket must</w:t>
      </w:r>
      <w:r>
        <w:t xml:space="preserve"> </w:t>
      </w:r>
      <w:r>
        <w:rPr>
          <w:bCs/>
          <w:b/>
        </w:rPr>
        <w:t xml:space="preserve">immediately transition to BLOCKED</w:t>
      </w:r>
      <w:r>
        <w:t xml:space="preserve">, and a corresponding entry must be captured in the formal</w:t>
      </w:r>
      <w:r>
        <w:t xml:space="preserve"> </w:t>
      </w:r>
      <w:r>
        <w:rPr>
          <w:bCs/>
          <w:b/>
        </w:rPr>
        <w:t xml:space="preserve">RAID Log</w:t>
      </w:r>
      <w:r>
        <w:t xml:space="preserve"> </w:t>
      </w:r>
      <w:r>
        <w:t xml:space="preserve">(Risks, Assumptions, Issues, Dependencies).</w:t>
      </w:r>
    </w:p>
    <w:p>
      <w:pPr>
        <w:pStyle w:val="BodyText"/>
      </w:pPr>
      <w:r>
        <w:t xml:space="preserve">The RAID entry must describe the issue, the impacted metrics/AUs, and the dependency or root cause where known.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BLOCKED Jira ticket without a matching RAID log entry is incomplete. Both must exist for the issue to be considered logged.</w:t>
            </w:r>
          </w:p>
        </w:tc>
      </w:tr>
    </w:tbl>
    <w:bookmarkEnd w:id="25"/>
    <w:bookmarkStart w:id="26" w:name="step-4-severity-assessment"/>
    <w:p>
      <w:pPr>
        <w:pStyle w:val="Heading2"/>
      </w:pPr>
      <w:r>
        <w:rPr>
          <w:bCs/>
          <w:b/>
        </w:rPr>
        <w:t xml:space="preserve">4.4 Step 4 — Severity Assessment</w:t>
      </w:r>
    </w:p>
    <w:p>
      <w:pPr>
        <w:pStyle w:val="FirstParagraph"/>
      </w:pPr>
      <w:r>
        <w:t xml:space="preserve">Every logged issue undergoes standardized severity assessment, which determines escalation urgency: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P1 — Critical data gaps</w:t>
      </w:r>
      <w:r>
        <w:t xml:space="preserve"> </w:t>
      </w:r>
      <w:r>
        <w:t xml:space="preserve">(e.g., a CDE required to close an AU is unavailable)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P2 — Systemic failures</w:t>
      </w:r>
      <w:r>
        <w:t xml:space="preserve"> </w:t>
      </w:r>
      <w:r>
        <w:t xml:space="preserve">(e.g., a fault affecting multiple metrics or AUs)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P3 — Localized logic discrepancies</w:t>
      </w:r>
      <w:r>
        <w:t xml:space="preserve"> </w:t>
      </w:r>
      <w:r>
        <w:t xml:space="preserve">(e.g., a single-metric logic issue with limited impact)</w:t>
      </w:r>
    </w:p>
    <w:p>
      <w:pPr>
        <w:pStyle w:val="FirstParagraph"/>
      </w:pPr>
      <w:r>
        <w:t xml:space="preserve">The severity classification is recorded against the issue in the RAID log.</w:t>
      </w:r>
    </w:p>
    <w:bookmarkEnd w:id="26"/>
    <w:bookmarkStart w:id="27" w:name="step-5-escalation-pathways"/>
    <w:p>
      <w:pPr>
        <w:pStyle w:val="Heading2"/>
      </w:pPr>
      <w:r>
        <w:rPr>
          <w:bCs/>
          <w:b/>
        </w:rPr>
        <w:t xml:space="preserve">4.5 Step 5 — Escalation Pathways</w:t>
      </w:r>
    </w:p>
    <w:p>
      <w:pPr>
        <w:pStyle w:val="FirstParagraph"/>
      </w:pPr>
      <w:r>
        <w:t xml:space="preserve">When an issue cannot be resolved within its SLA, it is escalated through the structured matrix:</w:t>
      </w:r>
    </w:p>
    <w:p>
      <w:pPr>
        <w:pStyle w:val="BodyText"/>
      </w:pPr>
      <w:r>
        <w:rPr>
          <w:bCs/>
          <w:b/>
        </w:rPr>
        <w:t xml:space="preserve">Developer → Team Lead → Project Manager → Business Stakeholders / 2LOD</w:t>
      </w:r>
    </w:p>
    <w:p>
      <w:pPr>
        <w:pStyle w:val="BodyText"/>
      </w:pPr>
      <w:r>
        <w:t xml:space="preserve">Each escalation must categorize the blocker type and be recorded in the Jira ticket comments and the RAID log. P1 issues are escalated immediately.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escalations must be documented in the Jira ticket comments and the RAID log — verbal escalations alone are not sufficient for audit purposes.</w:t>
            </w:r>
          </w:p>
        </w:tc>
      </w:tr>
    </w:tbl>
    <w:bookmarkEnd w:id="27"/>
    <w:bookmarkStart w:id="28" w:name="step-6-resolution-unblocking"/>
    <w:p>
      <w:pPr>
        <w:pStyle w:val="Heading2"/>
      </w:pPr>
      <w:r>
        <w:rPr>
          <w:bCs/>
          <w:b/>
        </w:rPr>
        <w:t xml:space="preserve">4.6 Step 6 — Resolution &amp; Unblocking</w:t>
      </w:r>
    </w:p>
    <w:p>
      <w:pPr>
        <w:pStyle w:val="FirstParagraph"/>
      </w:pPr>
      <w:r>
        <w:t xml:space="preserve">An issue is considered resolved</w:t>
      </w:r>
      <w:r>
        <w:t xml:space="preserve"> </w:t>
      </w:r>
      <w:r>
        <w:rPr>
          <w:bCs/>
          <w:b/>
        </w:rPr>
        <w:t xml:space="preserve">only when it is marked Closed in the RAID log</w:t>
      </w:r>
      <w:r>
        <w:t xml:space="preserve">. Only then may the Jira ticket leave the</w:t>
      </w:r>
      <w:r>
        <w:t xml:space="preserve"> </w:t>
      </w:r>
      <w:r>
        <w:rPr>
          <w:bCs/>
          <w:b/>
        </w:rPr>
        <w:t xml:space="preserve">BLOCKED</w:t>
      </w:r>
      <w:r>
        <w:t xml:space="preserve"> </w:t>
      </w:r>
      <w:r>
        <w:t xml:space="preserve">state and proceed toward</w:t>
      </w:r>
      <w:r>
        <w:t xml:space="preserve"> </w:t>
      </w:r>
      <w:r>
        <w:rPr>
          <w:bCs/>
          <w:b/>
        </w:rPr>
        <w:t xml:space="preserve">READY FOR FINAL REVIEW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Approval required: A Team Lead or Product Owner confirms the RAID closure before the ticket is unblocked. The approver must be independent of the person who raised the issue.</w:t>
            </w:r>
          </w:p>
        </w:tc>
      </w:tr>
    </w:tbl>
    <w:bookmarkEnd w:id="28"/>
    <w:bookmarkStart w:id="29" w:name="step-7-risk-acceptance"/>
    <w:p>
      <w:pPr>
        <w:pStyle w:val="Heading2"/>
      </w:pPr>
      <w:r>
        <w:rPr>
          <w:bCs/>
          <w:b/>
        </w:rPr>
        <w:t xml:space="preserve">4.7 Step 7 — Risk Acceptance</w:t>
      </w:r>
    </w:p>
    <w:p>
      <w:pPr>
        <w:pStyle w:val="FirstParagraph"/>
      </w:pPr>
      <w:r>
        <w:t xml:space="preserve">Where an issue cannot be resolved — most commonly when data quality is below the</w:t>
      </w:r>
      <w:r>
        <w:t xml:space="preserve"> </w:t>
      </w:r>
      <w:r>
        <w:rPr>
          <w:bCs/>
          <w:b/>
        </w:rPr>
        <w:t xml:space="preserve">95% threshold</w:t>
      </w:r>
      <w:r>
        <w:t xml:space="preserve"> </w:t>
      </w:r>
      <w:r>
        <w:t xml:space="preserve">and the business cannot provide the data — the gap is</w:t>
      </w:r>
      <w:r>
        <w:t xml:space="preserve"> </w:t>
      </w:r>
      <w:r>
        <w:rPr>
          <w:bCs/>
          <w:b/>
        </w:rPr>
        <w:t xml:space="preserve">formally risk-accepted by all key stakeholders</w:t>
      </w:r>
      <w:r>
        <w:t xml:space="preserve">. The ticket transitions to</w:t>
      </w:r>
      <w:r>
        <w:t xml:space="preserve"> </w:t>
      </w:r>
      <w:r>
        <w:rPr>
          <w:bCs/>
          <w:b/>
        </w:rPr>
        <w:t xml:space="preserve">NOT AVAILABLE</w:t>
      </w:r>
      <w:r>
        <w:t xml:space="preserve">, which triggers the</w:t>
      </w:r>
      <w:r>
        <w:t xml:space="preserve"> </w:t>
      </w:r>
      <w:r>
        <w:rPr>
          <w:bCs/>
          <w:b/>
        </w:rPr>
        <w:t xml:space="preserve">higher risk rating</w:t>
      </w:r>
      <w:r>
        <w:t xml:space="preserve"> </w:t>
      </w:r>
      <w:r>
        <w:t xml:space="preserve">for the impacted AU.</w:t>
      </w:r>
    </w:p>
    <w:p>
      <w:pPr>
        <w:pStyle w:val="BodyText"/>
      </w:pPr>
      <w:r>
        <w:t xml:space="preserve">This is a deliberate control: routing an unresolved data gap to NOT AVAILABLE prevents the artificial suppression of Inherent Risk that would occur if the metric were simply dropped.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Approval required: Risk acceptance must be signed off by all key stakeholders, including the Product Owner and 2LOD. The risk-acceptance record is an audit artifact.</w:t>
            </w:r>
          </w:p>
        </w:tc>
      </w:tr>
    </w:tbl>
    <w:bookmarkEnd w:id="29"/>
    <w:bookmarkStart w:id="30" w:name="step-8-decommissioning-sign-off"/>
    <w:p>
      <w:pPr>
        <w:pStyle w:val="Heading2"/>
      </w:pPr>
      <w:r>
        <w:rPr>
          <w:bCs/>
          <w:b/>
        </w:rPr>
        <w:t xml:space="preserve">4.8 Step 8 — Decommissioning &amp; Sign-Off</w:t>
      </w:r>
    </w:p>
    <w:p>
      <w:pPr>
        <w:pStyle w:val="FirstParagraph"/>
      </w:pPr>
      <w:r>
        <w:t xml:space="preserve">Metrics, AUs, or Work Packages that are retired or no longer applicable must be transitioned to</w:t>
      </w:r>
      <w:r>
        <w:t xml:space="preserve"> </w:t>
      </w:r>
      <w:r>
        <w:rPr>
          <w:bCs/>
          <w:b/>
        </w:rPr>
        <w:t xml:space="preserve">NO LONGER REQUIRED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APPLICABLE</w:t>
      </w:r>
      <w:r>
        <w:t xml:space="preserve"> </w:t>
      </w:r>
      <w:r>
        <w:t xml:space="preserve">in Jira, and the change logged in the SOW change log. Retired scope is never deleted, so historical traceability is preserved for audit.</w:t>
      </w:r>
    </w:p>
    <w:bookmarkEnd w:id="30"/>
    <w:bookmarkEnd w:id="31"/>
    <w:bookmarkStart w:id="32" w:name="jira-workflow-states"/>
    <w:p>
      <w:pPr>
        <w:pStyle w:val="Heading1"/>
      </w:pPr>
      <w:r>
        <w:rPr>
          <w:bCs/>
          <w:b/>
        </w:rPr>
        <w:t xml:space="preserve">5. Jira Workflow States</w:t>
      </w:r>
    </w:p>
    <w:p>
      <w:pPr>
        <w:pStyle w:val="FirstParagraph"/>
      </w:pPr>
      <w:r>
        <w:t xml:space="preserve">The following Jira states are used in the governance process: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Jira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 in Governance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LOGIC DESIGN 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Business-logic / scoping / methodology decision raised and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LOGIC SEMANTIC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refinement of a logged business-logic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 DEFINITION CLARIFICATION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ambiguity or assumption is being formally clarified and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BAU CDE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BAU CDE assumption / definition is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raised; metric cannot proceed. Requires a matching RAID log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 FOR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resolved and RAID-closed; ticket has left BLOCKED.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below threshold, formally risk-accepted. Triggers a higher AU risk rating.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LONGER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retired / cancelled. Historical traceability preserved.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AU is not applicable to the unit (e.g., CTR/LCTR for a unit with no cash in/out).</w:t>
            </w:r>
          </w:p>
        </w:tc>
      </w:tr>
    </w:tbl>
    <w:bookmarkEnd w:id="32"/>
    <w:bookmarkStart w:id="33" w:name="roles-responsibilities"/>
    <w:p>
      <w:pPr>
        <w:pStyle w:val="Heading1"/>
      </w:pPr>
      <w:r>
        <w:rPr>
          <w:bCs/>
          <w:b/>
        </w:rPr>
        <w:t xml:space="preserve">6. Roles &amp;</w:t>
      </w:r>
      <w:r>
        <w:t xml:space="preserve">** Responsibilities**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&amp; Assumption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all decisions and assumptions in Jira in the correct states (Steps 1–2).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/ RAID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issues to BLOCKED + RAID, classify severity P1/P2/P3 (Steps 3–4).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Escalation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the escalation matrix; record escalations and 2LOD notification (Step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Resolution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RAID closure and unblock the ticket (Step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or Product Owner — confirms unblocking (Step 6); key stakeholders incl. Product Owner and 2LOD — sign off risk acceptance (Step 7). Approver is independent of the issue raiser.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issues promptly with full detail; provide information needed to resolve.</w:t>
            </w:r>
          </w:p>
        </w:tc>
      </w:tr>
    </w:tbl>
    <w:bookmarkEnd w:id="33"/>
    <w:bookmarkStart w:id="34" w:name="evidence-audit-trail"/>
    <w:p>
      <w:pPr>
        <w:pStyle w:val="Heading1"/>
      </w:pPr>
      <w:r>
        <w:rPr>
          <w:bCs/>
          <w:b/>
        </w:rPr>
        <w:t xml:space="preserve">7. Evidence &amp;</w:t>
      </w:r>
      <w:r>
        <w:t xml:space="preserve">** Audit Trail**</w:t>
      </w:r>
    </w:p>
    <w:p>
      <w:pPr>
        <w:pStyle w:val="FirstParagraph"/>
      </w:pPr>
      <w:r>
        <w:t xml:space="preserve">The following artifacts constitute the audit evidence that this governance process was followed: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Proves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Jira decision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were logged in-band with full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 — FY25 RA CYCLE -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Assumption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Ambiguities and proxy assumptions were formally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 — METRIC DEFINITION CLARIFICATION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RAID log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were logged with impact and dependency 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RAID Log (Jira)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 Jira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metrics were flagged and could not silently proceed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 — ticket state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Severity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were prioritized consistently (P1/P2/P3)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RAID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Escalation records + 2LOD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 issues were escalated through the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 comments; RAID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RAID closure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were formally resolved before unblocking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RAID Log; Jira state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Risk-acceptance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Below-threshold data was formally accepted by stakeholders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 NOT AVAILABLE state; stakeholder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Decommissioning state transitions + SOW change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Retired scope was transitioned, not deleted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Jira; SOW v1.32 change log</w:t>
            </w:r>
          </w:p>
        </w:tc>
      </w:tr>
    </w:tbl>
    <w:bookmarkEnd w:id="34"/>
    <w:bookmarkStart w:id="37" w:name="constraints-assumptions-escalation"/>
    <w:p>
      <w:pPr>
        <w:pStyle w:val="Heading1"/>
      </w:pPr>
      <w:r>
        <w:rPr>
          <w:bCs/>
          <w:b/>
        </w:rPr>
        <w:t xml:space="preserve">8. Constraints, Assumptions &amp;</w:t>
      </w:r>
      <w:r>
        <w:t xml:space="preserve">** Escalation**</w:t>
      </w:r>
    </w:p>
    <w:bookmarkStart w:id="35" w:name="constraints"/>
    <w:p>
      <w:pPr>
        <w:pStyle w:val="Heading2"/>
      </w:pPr>
      <w:r>
        <w:rPr>
          <w:bCs/>
          <w:b/>
        </w:rPr>
        <w:t xml:space="preserve">8.1 Constraints</w:t>
      </w:r>
    </w:p>
    <w:p>
      <w:pPr>
        <w:numPr>
          <w:ilvl w:val="0"/>
          <w:numId w:val="1005"/>
        </w:numPr>
        <w:pStyle w:val="Compact"/>
      </w:pPr>
      <w:r>
        <w:t xml:space="preserve">A BLOCKED ticket may not leave the BLOCKED state until the corresponding RAID item is Closed</w:t>
      </w:r>
    </w:p>
    <w:p>
      <w:pPr>
        <w:numPr>
          <w:ilvl w:val="0"/>
          <w:numId w:val="1005"/>
        </w:numPr>
        <w:pStyle w:val="Compact"/>
      </w:pPr>
      <w:r>
        <w:t xml:space="preserve">Risk acceptance cannot be self-approved — it requires sign-off from key stakeholders including 2LOD</w:t>
      </w:r>
    </w:p>
    <w:p>
      <w:pPr>
        <w:numPr>
          <w:ilvl w:val="0"/>
          <w:numId w:val="1005"/>
        </w:numPr>
        <w:pStyle w:val="Compact"/>
      </w:pPr>
      <w:r>
        <w:t xml:space="preserve">Retired metrics/AUs must be transitioned to NO LONGER REQUIRED or NOT APPLICABLE, never deleted</w:t>
      </w:r>
    </w:p>
    <w:p>
      <w:pPr>
        <w:numPr>
          <w:ilvl w:val="0"/>
          <w:numId w:val="1005"/>
        </w:numPr>
        <w:pStyle w:val="Compact"/>
      </w:pPr>
      <w:r>
        <w:t xml:space="preserve">A decision or assumption that is not in Jira is not authoritative</w:t>
      </w:r>
    </w:p>
    <w:bookmarkEnd w:id="35"/>
    <w:bookmarkStart w:id="36" w:name="escalation-path"/>
    <w:p>
      <w:pPr>
        <w:pStyle w:val="Heading2"/>
      </w:pPr>
      <w:r>
        <w:rPr>
          <w:bCs/>
          <w:b/>
        </w:rPr>
        <w:t xml:space="preserve">8.2 Escalation Path</w:t>
      </w:r>
    </w:p>
    <w:p>
      <w:pPr>
        <w:pStyle w:val="FirstParagraph"/>
      </w:pPr>
      <w:r>
        <w:t xml:space="preserve">If an issue is blocked or cannot be resolved within SLA:</w:t>
      </w:r>
    </w:p>
    <w:p>
      <w:pPr>
        <w:numPr>
          <w:ilvl w:val="0"/>
          <w:numId w:val="1006"/>
        </w:numPr>
        <w:pStyle w:val="Compact"/>
      </w:pPr>
      <w:r>
        <w:t xml:space="preserve">Developer raises the BLOCKED ticket and RAID log entry</w:t>
      </w:r>
    </w:p>
    <w:p>
      <w:pPr>
        <w:numPr>
          <w:ilvl w:val="0"/>
          <w:numId w:val="1006"/>
        </w:numPr>
        <w:pStyle w:val="Compact"/>
      </w:pPr>
      <w:r>
        <w:t xml:space="preserve">Team Lead notified — drives resolution within the severity SLA</w:t>
      </w:r>
    </w:p>
    <w:p>
      <w:pPr>
        <w:numPr>
          <w:ilvl w:val="0"/>
          <w:numId w:val="1006"/>
        </w:numPr>
        <w:pStyle w:val="Compact"/>
      </w:pPr>
      <w:r>
        <w:t xml:space="preserve">Project Manager engaged if unresolved after Team Lead review</w:t>
      </w:r>
    </w:p>
    <w:p>
      <w:pPr>
        <w:numPr>
          <w:ilvl w:val="0"/>
          <w:numId w:val="1006"/>
        </w:numPr>
        <w:pStyle w:val="Compact"/>
      </w:pPr>
      <w:r>
        <w:t xml:space="preserve">Business Stakeholders / 2LOD notified for systemic (P1)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escalations must be documented in the Jira ticket comments and the RAID log — verbal escalations alone are not sufficient for audit purposes.</w:t>
            </w:r>
          </w:p>
        </w:tc>
      </w:tr>
    </w:tbl>
    <w:bookmarkEnd w:id="36"/>
    <w:bookmarkEnd w:id="37"/>
    <w:bookmarkStart w:id="38" w:name="related-documents"/>
    <w:p>
      <w:pPr>
        <w:pStyle w:val="Heading1"/>
      </w:pPr>
      <w:r>
        <w:rPr>
          <w:bCs/>
          <w:b/>
        </w:rPr>
        <w:t xml:space="preserve">9. Related Documents</w:t>
      </w:r>
    </w:p>
    <w:p>
      <w:pPr>
        <w:numPr>
          <w:ilvl w:val="0"/>
          <w:numId w:val="1007"/>
        </w:numPr>
        <w:pStyle w:val="Compact"/>
      </w:pPr>
      <w:r>
        <w:t xml:space="preserve">QA &amp; Governance Standard SOP v2.1 — SharePoint: 02 - Validation &amp; QA</w:t>
      </w:r>
    </w:p>
    <w:p>
      <w:pPr>
        <w:numPr>
          <w:ilvl w:val="0"/>
          <w:numId w:val="1007"/>
        </w:numPr>
        <w:pStyle w:val="Compact"/>
      </w:pPr>
      <w:r>
        <w:t xml:space="preserve">Change Management and Version Control SOP v1.1 — SharePoint: 06 - Change Management</w:t>
      </w:r>
    </w:p>
    <w:p>
      <w:pPr>
        <w:numPr>
          <w:ilvl w:val="0"/>
          <w:numId w:val="1007"/>
        </w:numPr>
        <w:pStyle w:val="Compact"/>
      </w:pPr>
      <w:r>
        <w:t xml:space="preserve">Delivery Process SOP v2.1 — SharePoint: 01 - Delivery Process</w:t>
      </w:r>
    </w:p>
    <w:p>
      <w:pPr>
        <w:numPr>
          <w:ilvl w:val="0"/>
          <w:numId w:val="1007"/>
        </w:numPr>
        <w:pStyle w:val="Compact"/>
      </w:pPr>
      <w:r>
        <w:t xml:space="preserve">Data Sourcing &amp; Lineage SOP v2.1 — SharePoint: 03 - Data Sourcing &amp; Lineage</w:t>
      </w:r>
    </w:p>
    <w:p>
      <w:pPr>
        <w:numPr>
          <w:ilvl w:val="0"/>
          <w:numId w:val="1007"/>
        </w:numPr>
        <w:pStyle w:val="Compact"/>
      </w:pPr>
      <w:r>
        <w:t xml:space="preserve">Statement of Work v1.32 (Richard Ng) — SharePoint: 00 - Audit Navigation</w:t>
      </w:r>
    </w:p>
    <w:p>
      <w:pPr>
        <w:numPr>
          <w:ilvl w:val="0"/>
          <w:numId w:val="1007"/>
        </w:numPr>
        <w:pStyle w:val="Compact"/>
      </w:pPr>
      <w:r>
        <w:t xml:space="preserve">RAID Log — Jira (FY25 RA CYCLE - DATA)</w:t>
      </w:r>
    </w:p>
    <w:p>
      <w:pPr>
        <w:numPr>
          <w:ilvl w:val="0"/>
          <w:numId w:val="1007"/>
        </w:numPr>
        <w:pStyle w:val="Compact"/>
      </w:pPr>
      <w:r>
        <w:t xml:space="preserve">Audit Summary v1.3 — SharePoint: 00 - Audit Navigation</w:t>
      </w:r>
    </w:p>
    <w:p>
      <w:pPr>
        <w:pStyle w:val="FirstParagraph"/>
      </w:pPr>
      <w:r>
        <w:rPr>
          <w:bCs/>
          <w:b/>
        </w:rPr>
        <w:t xml:space="preserve">Document Owner:</w:t>
      </w:r>
      <w:r>
        <w:rPr>
          <w:bCs/>
          <w:b/>
        </w:rPr>
        <w:t xml:space="preserve"> </w:t>
      </w:r>
      <w:r>
        <w:t xml:space="preserve">FCRM Enterprise Risk Assessment Reporting Team |</w:t>
      </w:r>
      <w:r>
        <w:t xml:space="preserve"> </w:t>
      </w:r>
      <w:r>
        <w:rPr>
          <w:bCs/>
          <w:b/>
        </w:rPr>
        <w:t xml:space="preserve">Effective:</w:t>
      </w:r>
      <w:r>
        <w:rPr>
          <w:bCs/>
          <w:b/>
        </w:rPr>
        <w:t xml:space="preserve"> </w:t>
      </w:r>
      <w:r>
        <w:t xml:space="preserve">June 2026 |</w:t>
      </w:r>
      <w:r>
        <w:t xml:space="preserve"> </w:t>
      </w:r>
      <w:r>
        <w:rPr>
          <w:bCs/>
          <w:b/>
        </w:rPr>
        <w:t xml:space="preserve">Version:</w:t>
      </w:r>
      <w:r>
        <w:rPr>
          <w:bCs/>
          <w:b/>
        </w:rP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Classification:</w:t>
      </w:r>
      <w:r>
        <w:rPr>
          <w:bCs/>
          <w:b/>
        </w:rPr>
        <w:t xml:space="preserve"> </w:t>
      </w:r>
      <w:r>
        <w:t xml:space="preserve">Internal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2026-06-04T17:38:12Z</dcterms:created>
  <dcterms:modified xsi:type="dcterms:W3CDTF">2026-06-04T17:38:12Z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