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gremsdshr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Payroll App Binder — V1.1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kqcw2fb0r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Binder Governance (V1.1 Additive Rule)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V1.1 introduces additional operator capabilities, visibility, and management surfaces.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V1.1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modify the V1.0 system boundaries, authorities, or prohibitions.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V1.1 capability conflicts with V1.0 guardrails, the V1.0 guardrail wins.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2kym2pkjc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Expanded Internal Ops Console (Management + Controls)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expands the internal ops console to include explicit management interfaces for the configurations that are app-owned.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v94t7c3u1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Management Surfaces (Required)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users must be able to manage: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Enablement &amp; Parameters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client/location: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enable/disable each RuleID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rule parameter values (supports multi-param)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 must be type-checked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must be audit-logged (who/when/what changed)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Excluded Employees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client/location: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exclusion via dropdown from Toast employees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effective dates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exclusion scope flags (validation / payroll export / tip report)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optional notes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must be audit-logged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Run Controls (Expanded)</w:t>
        <w:br w:type="textWrapping"/>
      </w:r>
      <w:r w:rsidDel="00000000" w:rsidR="00000000" w:rsidRPr="00000000">
        <w:rPr>
          <w:rtl w:val="0"/>
        </w:rPr>
        <w:t xml:space="preserve"> From the client/location + period page, internal users must be able to: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validation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exports (WIP)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tip report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validation email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Resend validation email</w:t>
      </w:r>
      <w:r w:rsidDel="00000000" w:rsidR="00000000" w:rsidRPr="00000000">
        <w:rPr>
          <w:rtl w:val="0"/>
        </w:rPr>
        <w:t xml:space="preserve"> (with strict idempotency/guardrails)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Re-issue tokens</w:t>
      </w:r>
      <w:r w:rsidDel="00000000" w:rsidR="00000000" w:rsidRPr="00000000">
        <w:rPr>
          <w:rtl w:val="0"/>
        </w:rPr>
        <w:t xml:space="preserve"> (approve/rerun) for the period (without altering approval state)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Guardrails: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resend if period is locked, unless the system explicitly supports “resend for visibility” while preserving lock (see 1.2).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actions remain logged and failure-notified identically to automated runs.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ycd8day3o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Resend / Reissue Rules (Explicit)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introduces controlled resend behavior: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Resend Email</w:t>
      </w:r>
      <w:r w:rsidDel="00000000" w:rsidR="00000000" w:rsidRPr="00000000">
        <w:rPr>
          <w:rtl w:val="0"/>
        </w:rPr>
        <w:t xml:space="preserve"> is allowed only if: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period is not locked, OR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resend is explicitly marked “informational resend” and the UI clearly indicates: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approval state is unchanged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lock state is unchanged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tokens may be reissued only if not locked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Re-issue Tokens</w:t>
      </w:r>
      <w:r w:rsidDel="00000000" w:rsidR="00000000" w:rsidRPr="00000000">
        <w:rPr>
          <w:rtl w:val="0"/>
        </w:rPr>
        <w:t xml:space="preserve"> is allowed only if: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period is not locked, and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previous tokens are expired/revoked, and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reissue creates a new token set while invalidating prior unclicked tokens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V1.1 action may: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unlock a locked period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approval history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failure protocol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qyjslk58r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Operational Dashboards (Visibility for Internal Users)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requires internal dashboards for monitoring.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wd7w61eht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Global Run Dashboard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latest run per location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 (scheduled/sent/failed/approved/locked)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 boundaries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validation_sent_at (if applicable)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indicator (if any)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 to run detail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mz0pbwo9k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Failure Dashboard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failures grouped by date and severity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911 notification was sent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error message summary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attempts (if applicable)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run detail and logs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gceximzpi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Approval Dashboard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approvals by date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client/location/period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approved_at and approver identity (if known)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actions triggered (Asana tasks, 911 notification)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4xngnig65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Improved Observability (Logging + Traceability)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formalizes observability requirements beyond “must alert on failure.”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g0uhhq1ga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Event Log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run must produce a structured event trail, including: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snapshot identifiers (Vitals/Calendar versions or retrieval timestamps)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 pull start/end + dataset counts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execution summary (#rules run, #findings)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generation status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send status and message metadata (as available)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issuance metadata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Asana task creation results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events with stack/trace summary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y239t7hl3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Idempotency Controls (Explicit)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requires explicit idempotency keys for: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sends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issuance sets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Asana task creation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client emails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tokens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tasks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vrxmjxnfn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Expanded Export Support (Non-breaking)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allows additional export templates </w:t>
      </w:r>
      <w:r w:rsidDel="00000000" w:rsidR="00000000" w:rsidRPr="00000000">
        <w:rPr>
          <w:b w:val="1"/>
          <w:bCs w:val="1"/>
          <w:rtl w:val="0"/>
        </w:rPr>
        <w:t xml:space="preserve">only if explicitly defined</w:t>
      </w:r>
      <w:r w:rsidDel="00000000" w:rsidR="00000000" w:rsidRPr="00000000">
        <w:rPr>
          <w:rtl w:val="0"/>
        </w:rPr>
        <w:t xml:space="preserve"> and treated as contracts.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Paychex export is allowed in V1.1 </w:t>
      </w:r>
      <w:r w:rsidDel="00000000" w:rsidR="00000000" w:rsidRPr="00000000">
        <w:rPr>
          <w:b w:val="1"/>
          <w:bCs w:val="1"/>
          <w:rtl w:val="0"/>
        </w:rPr>
        <w:t xml:space="preserve">only when</w:t>
      </w:r>
      <w:r w:rsidDel="00000000" w:rsidR="00000000" w:rsidRPr="00000000">
        <w:rPr>
          <w:rtl w:val="0"/>
        </w:rPr>
        <w:t xml:space="preserve"> its mapping contract is defined in the binder (or added as V1.2 if not ready).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ADP RUN/WFN contracts remain unchanged.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acr4avf2t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UX Safety &amp; Guardrails (Operator Error Prevention)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requires UI affordances to prevent common operational mistakes: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display of: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client/location identity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selected period dates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payroll company type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 report type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lock/approval status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step for: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sending/resending email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reissuing tokens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warning when: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Date is blank (manual send is still allowed only if the action explicitly supports it and is logged)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attachments are missing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 pull is incomplete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