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Proj_225005_Team_1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Big Data Analysis in IBM Cloud Databases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STUDENT NAME :</w:t>
      </w:r>
      <w:r w:rsidDel="00000000" w:rsidR="00000000" w:rsidRPr="00000000">
        <w:rPr>
          <w:rtl w:val="0"/>
        </w:rPr>
        <w:t xml:space="preserve"> TOM ROGER TARUN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NM ID :</w:t>
      </w:r>
      <w:r w:rsidDel="00000000" w:rsidR="00000000" w:rsidRPr="00000000">
        <w:rPr>
          <w:rtl w:val="0"/>
        </w:rPr>
        <w:t xml:space="preserve"> au412721104054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 PHASE 4 : DEVELOPMENT PART 2</w:t>
      </w:r>
    </w:p>
    <w:p w:rsidR="00000000" w:rsidDel="00000000" w:rsidP="00000000" w:rsidRDefault="00000000" w:rsidRPr="00000000" w14:paraId="00000007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social media trends, l</w:t>
      </w:r>
      <w:r w:rsidDel="00000000" w:rsidR="00000000" w:rsidRPr="00000000">
        <w:rPr>
          <w:sz w:val="24"/>
          <w:szCs w:val="24"/>
          <w:rtl w:val="0"/>
        </w:rPr>
        <w:t xml:space="preserve">et us now upload the CSV file of climate trends into the IBM Watson Studio and IBM Watson Machine Learning to create visualizations to showcase the analysis result.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IBM Watson Studio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Upload the CSV file of climate trends about minimum daily temperatures into the IBM Watson Studio which is the IBM Cloud Pak for Data by creating a new project and new asset of model associated with IBM Watson Machine Learning.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243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1953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Deployment Space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new Deployment Space is created and our Climate Mode is promoted and deployed successfully to analyse.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2186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Time Series Analysis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analyse the data, Time Series Analysis is used associated with IBM Watson Machine Learning.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1095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Analysis Result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got the result of Time Series Analysis once completed.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2711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Data visualization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Hence, we visualize our climate model asset in the IBM Cloud pak for Data associated with IBM  Watson Machine Learning by creating Scatter plot and Multi-series graph with Date in X-axis and Min_Temp in Y-axis.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1799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053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4.jpg"/><Relationship Id="rId13" Type="http://schemas.openxmlformats.org/officeDocument/2006/relationships/image" Target="media/image1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