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jc w:val="right"/>
        <w:rPr>
          <w:rFonts w:ascii="Arial" w:cs="Arial" w:eastAsia="Arial" w:hAnsi="Arial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Thomas J. Herzog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sz w:val="30"/>
          <w:szCs w:val="30"/>
          <w:u w:val="single"/>
        </w:rPr>
      </w:pPr>
      <w:hyperlink r:id="rId6">
        <w:r w:rsidDel="00000000" w:rsidR="00000000" w:rsidRPr="00000000">
          <w:rPr>
            <w:rFonts w:ascii="Arial" w:cs="Arial" w:eastAsia="Arial" w:hAnsi="Arial"/>
            <w:rtl w:val="0"/>
          </w:rPr>
          <w:t xml:space="preserve">thomasJherzog@gmail.com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|  (408) 476 1944  | San Jose, CA | </w:t>
      </w:r>
      <w:hyperlink r:id="rId7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https://linkedin.com/in/thomasJherzog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rFonts w:ascii="Arial" w:cs="Arial" w:eastAsia="Arial" w:hAnsi="Arial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05">
      <w:pPr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 (ES6+), HTML5, CSS3, React, Redux, Typescript, Next.js, Apollo, GraphQL, Jest, Node, Express, MySQL, PostgreSQL, SQL, Git, Github, Docker, NPM/Yarn, Babel, Webpack, ESLint, PHP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770"/>
        <w:tblGridChange w:id="0">
          <w:tblGrid>
            <w:gridCol w:w="7590"/>
            <w:gridCol w:w="17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C0d3.com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Fullstack 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Jose, CA - Remote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76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Feb 2021 -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source online software engineering education platform built with Typescript, React, SCSS, Next.js, Apollo, GraphQL, PostgreSQL.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curriculum review, security audit, documenting issues, and implementing patches.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logging / error reporting infrastructure to collect, parse and send alerts correctly from our AWS Lambda serverless hosting environment leading to many bug fixes / SEO improvements.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 Scrum / Sprint planning meetings, and improved code quality through code reviews and testing infrastructure improvements.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web performance reducing user loading time by converting application to a shared static layout and fixed React hydration errors allowing statically generated pages to load quicker.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user experience by rewriting major existing react components focusing on accessibility.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2025"/>
        <w:tblGridChange w:id="0">
          <w:tblGrid>
            <w:gridCol w:w="7335"/>
            <w:gridCol w:w="20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hd w:fill="f8f8f8" w:val="clear"/>
                <w:rtl w:val="0"/>
              </w:rPr>
              <w:t xml:space="preserve">Ingoneering</w:t>
            </w: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Portland, OR - Remote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Nov 2020 - Dec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nhanced and maintained a custom-built internal ERP business tool built with vanilla JavaScript, HTML, PHP, CSS, MySQL transitioning to React, Xstate, Docker setup.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Updated payroll reports to include extra breakdown of weekly reports.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Reviewed, documented and fixed issues with ‘progress complete’ feature not updating correctly.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3915"/>
        <w:tblGridChange w:id="0">
          <w:tblGrid>
            <w:gridCol w:w="5445"/>
            <w:gridCol w:w="39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SPA/PWA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React, Redux, Material UI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u w:val="single"/>
                  <w:rtl w:val="0"/>
                </w:rPr>
                <w:t xml:space="preserve">https://github.com/tomrule007/orderguide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esponsive single page app prototype built for a regional grocery chain making data more actionable.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905"/>
        <w:tblGridChange w:id="0">
          <w:tblGrid>
            <w:gridCol w:w="4455"/>
            <w:gridCol w:w="4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Chrome Extension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JavaScript. CSS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https://github.com/tomrule007/highlight-active-row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Five star rated chrome extension with over 50 users built to enhance web page data entry accessibility.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NPM Package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JavaScript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u w:val="single"/>
                  <w:rtl w:val="0"/>
                </w:rPr>
                <w:t xml:space="preserve">https://www.npmjs.com/package/pdf-template-parse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ross-browser “PDF parser w/ template engine” to convert pdf documents into organized data objects.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425"/>
        <w:tblGridChange w:id="0">
          <w:tblGrid>
            <w:gridCol w:w="7935"/>
            <w:gridCol w:w="14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BSc, Electrical Engineering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San Jose State University - San Jose, CA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Rule="auto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Dean’s Scholar: Spring 2010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Rule="auto"/>
              <w:jc w:val="right"/>
              <w:rPr>
                <w:rFonts w:ascii="Arial" w:cs="Arial" w:eastAsia="Arial" w:hAnsi="Arial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2008-2011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completing my college senior project, building the </w:t>
      </w:r>
      <w:hyperlink r:id="rId12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SJSU ZEM house (zero-emissions)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I spent one year living and working on a farm studying sustainable farming practices. After which I went on to become sole proprietor of an organic specialty crop farm focused on biological regenerative practices to sequester carbon and reduce greenhouse gases. After 6 years of successfully running the farming business I have shifted my focus towards building technology, understanding its integral role in a sustainable future.</w:t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pmjs.com/package/pdf-template-parse" TargetMode="External"/><Relationship Id="rId10" Type="http://schemas.openxmlformats.org/officeDocument/2006/relationships/hyperlink" Target="https://github.com/tomrule007/highlight-active-row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blogs.sjsu.edu/newsroom/2011/multidisciplinary-team-builds-zem-hou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omrule007/orderguid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homasJherzog@gmail.com" TargetMode="External"/><Relationship Id="rId7" Type="http://schemas.openxmlformats.org/officeDocument/2006/relationships/hyperlink" Target="https://linkedin.com/in/thomasJherzog" TargetMode="External"/><Relationship Id="rId8" Type="http://schemas.openxmlformats.org/officeDocument/2006/relationships/hyperlink" Target="https://www.c0d3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