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Inter" w:cs="Inter" w:eastAsia="Inter" w:hAnsi="Inter"/>
          <w:b/>
          <w:bCs/>
          <w:color w:val="B99A4E"/>
          <w:spacing w:val="40"/>
          <w:sz w:val="18"/>
          <w:szCs w:val="18"/>
        </w:rPr>
        <w:t xml:space="preserve">GARTENART &amp; BAUPROJEKTE</w:t>
      </w:r>
    </w:p>
    <w:p>
      <w:pPr>
        <w:spacing w:after="200"/>
      </w:pPr>
      <w:r>
        <w:rPr>
          <w:rFonts w:ascii="Spectral" w:cs="Spectral" w:eastAsia="Spectral" w:hAnsi="Spectral"/>
          <w:b/>
          <w:bCs/>
          <w:color w:val="2F3D2B"/>
          <w:sz w:val="48"/>
          <w:szCs w:val="48"/>
        </w:rPr>
        <w:t xml:space="preserve">Ausführliche Akquisetexte: Kommunen &amp; Unternehmen</w:t>
      </w:r>
    </w:p>
    <w:p>
      <w:pPr>
        <w:spacing w:after="60"/>
      </w:pPr>
      <w:r>
        <w:rPr>
          <w:rFonts w:ascii="Inter" w:cs="Inter" w:eastAsia="Inter" w:hAnsi="Inter"/>
          <w:color w:val="2B2B28"/>
          <w:sz w:val="22"/>
          <w:szCs w:val="22"/>
        </w:rPr>
        <w:t xml:space="preserve">Wiederherstellungsverordnung Art. 8 (B2G) und VSME (B2B) — als Grundtext für E-Mail, Exposé, Gespräch und Flyer</w:t>
      </w:r>
    </w:p>
    <w:p>
      <w:pPr>
        <w:spacing w:after="400"/>
      </w:pPr>
      <w:r>
        <w:rPr>
          <w:rFonts w:ascii="Inter" w:cs="Inter" w:eastAsia="Inter" w:hAnsi="Inter"/>
          <w:color w:val="6E6A5F"/>
          <w:sz w:val="18"/>
          <w:szCs w:val="18"/>
        </w:rPr>
        <w:t xml:space="preserve">Stand: 06.09.2026 · Tom Seehafer · Saalburgstraße 21, 61440 Oberursel (Taunus)</w:t>
      </w:r>
    </w:p>
    <w:p>
      <w:pPr>
        <w:pStyle w:val="Heading2"/>
        <w:spacing w:after="100" w:before="240"/>
      </w:pPr>
      <w:r>
        <w:rPr>
          <w:rFonts w:ascii="Spectral" w:cs="Spectral" w:eastAsia="Spectral" w:hAnsi="Spectral"/>
          <w:b/>
          <w:bCs/>
          <w:color w:val="2F3D2B"/>
          <w:sz w:val="26"/>
          <w:szCs w:val="26"/>
        </w:rPr>
        <w:t xml:space="preserve">Hinweis zur GK-Marke (GEK)</w:t>
      </w:r>
    </w:p>
    <w:p>
      <w:pPr>
        <w:spacing w:after="140" w:line="300"/>
      </w:pPr>
      <w:r>
        <w:rPr>
          <w:rFonts w:ascii="Inter" w:cs="Inter" w:eastAsia="Inter" w:hAnsi="Inter"/>
          <w:b w:val="false"/>
          <w:bCs w:val="false"/>
          <w:i w:val="false"/>
          <w:iCs w:val="false"/>
          <w:color w:val="2B2B28"/>
          <w:sz w:val="20"/>
          <w:szCs w:val="20"/>
        </w:rPr>
        <w:t xml:space="preserve">Die GK-Bewertung (GEK) ist noch nicht beim Anwalt eingereicht und noch nicht beim DPMA angemeldet. Eine Anmeldung dauert erfahrungsgemäß bis zu drei Monate bis zur Eintragung. Solange der Name nicht geschützt ist, wird er in keinem der folgenden Texte extern verwendet — intern kann weiter mit GK geplant und gesprochen werden, sobald der Name nach außen geht, muss der Schutz stehen.</w:t>
      </w:r>
    </w:p>
    <w:p>
      <w:pPr>
        <w:spacing w:after="140" w:line="300"/>
      </w:pPr>
      <w:r>
        <w:rPr>
          <w:rFonts w:ascii="Inter" w:cs="Inter" w:eastAsia="Inter" w:hAnsi="Inter"/>
          <w:b w:val="false"/>
          <w:bCs w:val="false"/>
          <w:i w:val="false"/>
          <w:iCs w:val="false"/>
          <w:color w:val="2B2B28"/>
          <w:sz w:val="20"/>
          <w:szCs w:val="20"/>
        </w:rPr>
        <w:t xml:space="preserve">Beide Texte unten sind deshalb bewusst markenneutral formuliert: Flächenbewertung, dokumentierte Kennzahlen, Grünflächen-Assessment statt GK-Bewertung. Sobald die Eintragung vorliegt, lassen sich diese Stellen gezielt durch den Markennamen ersetzen — im Dokument mit [GK] markiert.</w:t>
      </w:r>
    </w:p>
    <w:p>
      <w:pPr>
        <w:pStyle w:val="Heading2"/>
        <w:spacing w:after="100" w:before="240"/>
      </w:pPr>
      <w:r>
        <w:rPr>
          <w:rFonts w:ascii="Spectral" w:cs="Spectral" w:eastAsia="Spectral" w:hAnsi="Spectral"/>
          <w:b/>
          <w:bCs/>
          <w:color w:val="2F3D2B"/>
          <w:sz w:val="26"/>
          <w:szCs w:val="26"/>
        </w:rPr>
        <w:t xml:space="preserve">Wie Sie diese Texte einsetzen</w:t>
      </w:r>
    </w:p>
    <w:p>
      <w:pPr>
        <w:spacing w:after="140" w:line="300"/>
      </w:pPr>
      <w:r>
        <w:rPr>
          <w:rFonts w:ascii="Inter" w:cs="Inter" w:eastAsia="Inter" w:hAnsi="Inter"/>
          <w:b w:val="false"/>
          <w:bCs w:val="false"/>
          <w:i w:val="false"/>
          <w:iCs w:val="false"/>
          <w:color w:val="2B2B28"/>
          <w:sz w:val="20"/>
          <w:szCs w:val="20"/>
        </w:rPr>
        <w:t xml:space="preserve">Beide Texte sind als vollständiger Grundtext geschrieben, nicht als Stichpunkt-Flyer. Sie lassen sich unverändert nutzen als:</w:t>
      </w:r>
    </w:p>
    <w:p>
      <w:pPr>
        <w:pStyle w:val="ListParagraph"/>
        <w:numPr>
          <w:ilvl w:val="0"/>
          <w:numId w:val="2"/>
        </w:numPr>
        <w:spacing w:after="80" w:line="300"/>
      </w:pPr>
      <w:r>
        <w:rPr>
          <w:rFonts w:ascii="Inter" w:cs="Inter" w:eastAsia="Inter" w:hAnsi="Inter"/>
          <w:color w:val="2B2B28"/>
          <w:sz w:val="20"/>
          <w:szCs w:val="20"/>
        </w:rPr>
        <w:t xml:space="preserve">E-Mail-Text (ganzer Text oder gekürzt auf die ersten zwei Absätze plus Nächster Schritt)</w:t>
      </w:r>
    </w:p>
    <w:p>
      <w:pPr>
        <w:pStyle w:val="ListParagraph"/>
        <w:numPr>
          <w:ilvl w:val="0"/>
          <w:numId w:val="2"/>
        </w:numPr>
        <w:spacing w:after="80" w:line="300"/>
      </w:pPr>
      <w:r>
        <w:rPr>
          <w:rFonts w:ascii="Inter" w:cs="Inter" w:eastAsia="Inter" w:hAnsi="Inter"/>
          <w:color w:val="2B2B28"/>
          <w:sz w:val="20"/>
          <w:szCs w:val="20"/>
        </w:rPr>
        <w:t xml:space="preserve">PDF-Anhang bzw. kurzes Exposé zum Nachlesen nach einem Erstkontakt</w:t>
      </w:r>
    </w:p>
    <w:p>
      <w:pPr>
        <w:pStyle w:val="ListParagraph"/>
        <w:numPr>
          <w:ilvl w:val="0"/>
          <w:numId w:val="2"/>
        </w:numPr>
        <w:spacing w:after="80" w:line="300"/>
      </w:pPr>
      <w:r>
        <w:rPr>
          <w:rFonts w:ascii="Inter" w:cs="Inter" w:eastAsia="Inter" w:hAnsi="Inter"/>
          <w:color w:val="2B2B28"/>
          <w:sz w:val="20"/>
          <w:szCs w:val="20"/>
        </w:rPr>
        <w:t xml:space="preserve">Gesprächsgrundlage für Telefonat oder Termin — Struktur laut vorlesen, in eigenen Worten</w:t>
      </w:r>
    </w:p>
    <w:p>
      <w:pPr>
        <w:pStyle w:val="ListParagraph"/>
        <w:numPr>
          <w:ilvl w:val="0"/>
          <w:numId w:val="2"/>
        </w:numPr>
        <w:spacing w:after="80" w:line="300"/>
      </w:pPr>
      <w:r>
        <w:rPr>
          <w:rFonts w:ascii="Inter" w:cs="Inter" w:eastAsia="Inter" w:hAnsi="Inter"/>
          <w:color w:val="2B2B28"/>
          <w:sz w:val="20"/>
          <w:szCs w:val="20"/>
        </w:rPr>
        <w:t xml:space="preserve">Rückseiten-Text für einen Flyer, gekürzt auf die Bullet-Listen</w:t>
      </w:r>
    </w:p>
    <w:p>
      <w:pPr>
        <w:shd w:fill="FAF8F2" w:val="clear"/>
        <w:spacing w:after="160"/>
      </w:pPr>
      <w:r>
        <w:rPr>
          <w:rFonts w:ascii="Inter" w:cs="Inter" w:eastAsia="Inter" w:hAnsi="Inter"/>
          <w:i/>
          <w:iCs/>
          <w:color w:val="6E6A5F"/>
          <w:sz w:val="18"/>
          <w:szCs w:val="18"/>
        </w:rPr>
        <w:t xml:space="preserve">  Fettgedruckte Zwischentitel sind Gliederungshilfen für Sie — beim Versand als E-Mail normalerweise weglassen oder nur als Absatztrenner nutzen.</w:t>
      </w:r>
    </w:p>
    <w:p>
      <w:r>
        <w:br w:type="page"/>
      </w:r>
    </w:p>
    <w:p>
      <w:pPr>
        <w:spacing w:after="60"/>
      </w:pPr>
      <w:r>
        <w:rPr>
          <w:rFonts w:ascii="Inter" w:cs="Inter" w:eastAsia="Inter" w:hAnsi="Inter"/>
          <w:b/>
          <w:bCs/>
          <w:color w:val="B99A4E"/>
          <w:spacing w:val="40"/>
          <w:sz w:val="16"/>
          <w:szCs w:val="16"/>
        </w:rPr>
        <w:t xml:space="preserve">AKQUISETEXT · B2G</w:t>
      </w:r>
    </w:p>
    <w:p>
      <w:pPr>
        <w:pStyle w:val="Heading1"/>
        <w:pBdr>
          <w:bottom w:val="single" w:color="B99A4E" w:sz="6" w:space="4"/>
        </w:pBdr>
        <w:spacing w:after="140" w:before="320"/>
      </w:pPr>
      <w:r>
        <w:rPr>
          <w:rFonts w:ascii="Spectral" w:cs="Spectral" w:eastAsia="Spectral" w:hAnsi="Spectral"/>
          <w:b/>
          <w:bCs/>
          <w:color w:val="2F3D2B"/>
          <w:sz w:val="34"/>
          <w:szCs w:val="34"/>
        </w:rPr>
        <w:t xml:space="preserve">Kommunen: Wiederherstellungsverordnung Artikel 8</w:t>
      </w:r>
    </w:p>
    <w:p>
      <w:pPr>
        <w:spacing w:after="80" w:before="160"/>
      </w:pPr>
      <w:r>
        <w:rPr>
          <w:rFonts w:ascii="Inter" w:cs="Inter" w:eastAsia="Inter" w:hAnsi="Inter"/>
          <w:b/>
          <w:bCs/>
          <w:color w:val="243020"/>
          <w:sz w:val="21"/>
          <w:szCs w:val="21"/>
        </w:rPr>
        <w:t xml:space="preserve">Ausgangslage</w:t>
      </w:r>
    </w:p>
    <w:p>
      <w:pPr>
        <w:spacing w:after="140" w:line="300"/>
      </w:pPr>
      <w:r>
        <w:rPr>
          <w:rFonts w:ascii="Inter" w:cs="Inter" w:eastAsia="Inter" w:hAnsi="Inter"/>
          <w:b w:val="false"/>
          <w:bCs w:val="false"/>
          <w:i w:val="false"/>
          <w:iCs w:val="false"/>
          <w:color w:val="2B2B28"/>
          <w:sz w:val="20"/>
          <w:szCs w:val="20"/>
        </w:rPr>
        <w:t xml:space="preserve">Seit dem 18. August 2024 ist die EU-Wiederherstellungsverordnung (VO (EU) 2024/1991) in Kraft. Artikel 8 verpflichtet rund 3.000 deutsche Kommunen mit definierten städtischen Ökosystemgebieten, ihre Grünfläche und Baumüberschirmung bis zum 31. Dezember 2030 gegenüber dem Bezugsjahr 2024 mindestens zu erhalten. Ab 2031 ist ein nachweisbar steigender Trend gefordert — konkrete nationale Zielwerte dafür stehen noch aus.</w:t>
      </w:r>
    </w:p>
    <w:p>
      <w:pPr>
        <w:spacing w:after="140" w:line="300"/>
      </w:pPr>
      <w:r>
        <w:rPr>
          <w:rFonts w:ascii="Inter" w:cs="Inter" w:eastAsia="Inter" w:hAnsi="Inter"/>
          <w:b w:val="false"/>
          <w:bCs w:val="false"/>
          <w:i w:val="false"/>
          <w:iCs w:val="false"/>
          <w:color w:val="2B2B28"/>
          <w:sz w:val="20"/>
          <w:szCs w:val="20"/>
        </w:rPr>
        <w:t xml:space="preserve">Der deutsche Nationale Wiederherstellungsplan liegt seit April 2026 im Entwurf vor und wird aktuell, bis zum 1. September 2026, offiziell bei der EU-Kommission eingereicht. Die öffentliche Aufmerksamkeit für das Thema ist entsprechend hoch.</w:t>
      </w:r>
    </w:p>
    <w:p>
      <w:pPr>
        <w:spacing w:after="80" w:before="160"/>
      </w:pPr>
      <w:r>
        <w:rPr>
          <w:rFonts w:ascii="Inter" w:cs="Inter" w:eastAsia="Inter" w:hAnsi="Inter"/>
          <w:b/>
          <w:bCs/>
          <w:color w:val="243020"/>
          <w:sz w:val="21"/>
          <w:szCs w:val="21"/>
        </w:rPr>
        <w:t xml:space="preserve">Betrifft das auch Ihre Kommune?</w:t>
      </w:r>
    </w:p>
    <w:p>
      <w:pPr>
        <w:spacing w:after="140" w:line="300"/>
      </w:pPr>
      <w:r>
        <w:rPr>
          <w:rFonts w:ascii="Inter" w:cs="Inter" w:eastAsia="Inter" w:hAnsi="Inter"/>
          <w:b w:val="false"/>
          <w:bCs w:val="false"/>
          <w:i w:val="false"/>
          <w:iCs w:val="false"/>
          <w:color w:val="2B2B28"/>
          <w:sz w:val="20"/>
          <w:szCs w:val="20"/>
        </w:rPr>
        <w:t xml:space="preserve">Rund die Hälfte der betroffenen Kommunen erfüllt bereits die Ausnahmeregelung — mehr als 45 % Grünflächenanteil und mehr als 10 % Baumüberschirmung — und ist bis 2030 von der strengen Nettoverlust-Pflicht befreit. Der Bund macht davon pauschal Gebrauch, ein Einzelantrag ist nicht nötig. Das ändert aber nichts an der Verpflichtung ab 2031: Auch ausgenommene Kommunen müssen dann einen steigenden Trend nachweisen. Die eigene Flächenbilanz zu kennen, lohnt sich deshalb schon jetzt — der BfN-/BBSR-Datenviewer zeigt sie auf einen Blick.</w:t>
      </w:r>
    </w:p>
    <w:p>
      <w:pPr>
        <w:spacing w:after="140" w:line="300"/>
      </w:pPr>
      <w:r>
        <w:rPr>
          <w:rFonts w:ascii="Inter" w:cs="Inter" w:eastAsia="Inter" w:hAnsi="Inter"/>
          <w:b w:val="false"/>
          <w:bCs w:val="false"/>
          <w:i w:val="false"/>
          <w:iCs w:val="false"/>
          <w:color w:val="2B2B28"/>
          <w:sz w:val="20"/>
          <w:szCs w:val="20"/>
        </w:rPr>
        <w:t xml:space="preserve">Als Grünfläche zählen Bäume, Sträucher, dauerhaft krautige Vegetation, Gewässer und Dauergrünland — ausdrücklich auch neue Dach- und Fassadenbegrünung. Gemessen wird europaweit satellitengestützt über Copernicus-Landcover-Daten.</w:t>
      </w:r>
    </w:p>
    <w:p>
      <w:pPr>
        <w:spacing w:after="80" w:before="160"/>
      </w:pPr>
      <w:r>
        <w:rPr>
          <w:rFonts w:ascii="Inter" w:cs="Inter" w:eastAsia="Inter" w:hAnsi="Inter"/>
          <w:b/>
          <w:bCs/>
          <w:color w:val="243020"/>
          <w:sz w:val="21"/>
          <w:szCs w:val="21"/>
        </w:rPr>
        <w:t xml:space="preserve">Finanzierung</w:t>
      </w:r>
    </w:p>
    <w:p>
      <w:pPr>
        <w:spacing w:after="140" w:line="300"/>
      </w:pPr>
      <w:r>
        <w:rPr>
          <w:rFonts w:ascii="Inter" w:cs="Inter" w:eastAsia="Inter" w:hAnsi="Inter"/>
          <w:b w:val="false"/>
          <w:bCs w:val="false"/>
          <w:i w:val="false"/>
          <w:iCs w:val="false"/>
          <w:color w:val="2B2B28"/>
          <w:sz w:val="20"/>
          <w:szCs w:val="20"/>
        </w:rPr>
        <w:t xml:space="preserve">Das Aktionsprogramm Natürlicher Klimaschutz (ANK) stellt über das KfW-Programm 444 Natürlicher Klimaschutz in Kommunen Fördermittel bereit: Förderquote 50 %, bei finanzschwachen Kommunen bis zu 80 %, Antragsfrist 31. Dezember 2026. Förderfähig sind unter anderem Stadtbaumpflanzung und -pflege, naturnahes Grünflächenmanagement, Entsiegelung und sogenannte Naturoasen.</w:t>
      </w:r>
    </w:p>
    <w:p>
      <w:pPr>
        <w:shd w:fill="FAF8F2" w:val="clear"/>
        <w:spacing w:after="160"/>
      </w:pPr>
      <w:r>
        <w:rPr>
          <w:rFonts w:ascii="Inter" w:cs="Inter" w:eastAsia="Inter" w:hAnsi="Inter"/>
          <w:i/>
          <w:iCs/>
          <w:color w:val="6E6A5F"/>
          <w:sz w:val="18"/>
          <w:szCs w:val="18"/>
        </w:rPr>
        <w:t xml:space="preserve">  Förderkonditionen ändern sich — vor jeder Zusage die aktuellen Werte bei der KfW verifizieren.</w:t>
      </w:r>
    </w:p>
    <w:p>
      <w:pPr>
        <w:spacing w:after="80" w:before="160"/>
      </w:pPr>
      <w:r>
        <w:rPr>
          <w:rFonts w:ascii="Inter" w:cs="Inter" w:eastAsia="Inter" w:hAnsi="Inter"/>
          <w:b/>
          <w:bCs/>
          <w:color w:val="243020"/>
          <w:sz w:val="21"/>
          <w:szCs w:val="21"/>
        </w:rPr>
        <w:t xml:space="preserve">Unser Angebot</w:t>
      </w:r>
    </w:p>
    <w:p>
      <w:pPr>
        <w:pStyle w:val="ListParagraph"/>
        <w:numPr>
          <w:ilvl w:val="0"/>
          <w:numId w:val="2"/>
        </w:numPr>
        <w:spacing w:after="80" w:line="300"/>
      </w:pPr>
      <w:r>
        <w:rPr>
          <w:rFonts w:ascii="Inter" w:cs="Inter" w:eastAsia="Inter" w:hAnsi="Inter"/>
          <w:color w:val="2B2B28"/>
          <w:sz w:val="20"/>
          <w:szCs w:val="20"/>
        </w:rPr>
        <w:t xml:space="preserve">Auswertung der eigenen Flächenbilanz gemeinsam mit Bauhof oder Umweltamt</w:t>
      </w:r>
    </w:p>
    <w:p>
      <w:pPr>
        <w:pStyle w:val="ListParagraph"/>
        <w:numPr>
          <w:ilvl w:val="0"/>
          <w:numId w:val="2"/>
        </w:numPr>
        <w:spacing w:after="80" w:line="300"/>
      </w:pPr>
      <w:r>
        <w:rPr>
          <w:rFonts w:ascii="Inter" w:cs="Inter" w:eastAsia="Inter" w:hAnsi="Inter"/>
          <w:color w:val="2B2B28"/>
          <w:sz w:val="20"/>
          <w:szCs w:val="20"/>
        </w:rPr>
        <w:t xml:space="preserve">Planung und Umsetzung klimaresilienter Begrünung mit heimischer Bepflanzung</w:t>
      </w:r>
    </w:p>
    <w:p>
      <w:pPr>
        <w:pStyle w:val="ListParagraph"/>
        <w:numPr>
          <w:ilvl w:val="0"/>
          <w:numId w:val="2"/>
        </w:numPr>
        <w:spacing w:after="80" w:line="300"/>
      </w:pPr>
      <w:r>
        <w:rPr>
          <w:rFonts w:ascii="Inter" w:cs="Inter" w:eastAsia="Inter" w:hAnsi="Inter"/>
          <w:color w:val="2B2B28"/>
          <w:sz w:val="20"/>
          <w:szCs w:val="20"/>
        </w:rPr>
        <w:t xml:space="preserve">Entsiegelung und naturnahes Grünflächenmanagement</w:t>
      </w:r>
    </w:p>
    <w:p>
      <w:pPr>
        <w:pStyle w:val="ListParagraph"/>
        <w:numPr>
          <w:ilvl w:val="0"/>
          <w:numId w:val="2"/>
        </w:numPr>
        <w:spacing w:after="80" w:line="300"/>
      </w:pPr>
      <w:r>
        <w:rPr>
          <w:rFonts w:ascii="Inter" w:cs="Inter" w:eastAsia="Inter" w:hAnsi="Inter"/>
          <w:color w:val="2B2B28"/>
          <w:sz w:val="20"/>
          <w:szCs w:val="20"/>
        </w:rPr>
        <w:t xml:space="preserve">Baumpflanzung und -pflege</w:t>
      </w:r>
    </w:p>
    <w:p>
      <w:pPr>
        <w:pStyle w:val="ListParagraph"/>
        <w:numPr>
          <w:ilvl w:val="0"/>
          <w:numId w:val="2"/>
        </w:numPr>
        <w:spacing w:after="80" w:line="300"/>
      </w:pPr>
      <w:r>
        <w:rPr>
          <w:rFonts w:ascii="Inter" w:cs="Inter" w:eastAsia="Inter" w:hAnsi="Inter"/>
          <w:color w:val="2B2B28"/>
          <w:sz w:val="20"/>
          <w:szCs w:val="20"/>
        </w:rPr>
        <w:t xml:space="preserve">Abstimmung auf die ANK-Förderung, Antragstellung erfolgt durch die Kommune</w:t>
      </w:r>
    </w:p>
    <w:p>
      <w:pPr>
        <w:pStyle w:val="ListParagraph"/>
        <w:numPr>
          <w:ilvl w:val="0"/>
          <w:numId w:val="2"/>
        </w:numPr>
        <w:spacing w:after="80" w:line="300"/>
      </w:pPr>
      <w:r>
        <w:rPr>
          <w:rFonts w:ascii="Inter" w:cs="Inter" w:eastAsia="Inter" w:hAnsi="Inter"/>
          <w:color w:val="2B2B28"/>
          <w:sz w:val="20"/>
          <w:szCs w:val="20"/>
        </w:rPr>
        <w:t xml:space="preserve">Mehrjährige Pflege der neu angelegten Flächen</w:t>
      </w:r>
    </w:p>
    <w:p>
      <w:pPr>
        <w:spacing w:after="80" w:before="160"/>
      </w:pPr>
      <w:r>
        <w:rPr>
          <w:rFonts w:ascii="Inter" w:cs="Inter" w:eastAsia="Inter" w:hAnsi="Inter"/>
          <w:b/>
          <w:bCs/>
          <w:color w:val="243020"/>
          <w:sz w:val="21"/>
          <w:szCs w:val="21"/>
        </w:rPr>
        <w:t xml:space="preserve">Warum GartenArt &amp; BauProjekte</w:t>
      </w:r>
    </w:p>
    <w:p>
      <w:pPr>
        <w:spacing w:after="140" w:line="300"/>
      </w:pPr>
      <w:r>
        <w:rPr>
          <w:rFonts w:ascii="Inter" w:cs="Inter" w:eastAsia="Inter" w:hAnsi="Inter"/>
          <w:b w:val="false"/>
          <w:bCs w:val="false"/>
          <w:i w:val="false"/>
          <w:iCs w:val="false"/>
          <w:color w:val="2B2B28"/>
          <w:sz w:val="20"/>
          <w:szCs w:val="20"/>
        </w:rPr>
        <w:t xml:space="preserve">Kurzer, direkter Weg: als Einzelunternehmer mit Entscheidungskompetenz vor Ort, ohne Warteschleife einer großen Organisation. Für kleinere Maßnahmen unterhalb der Ausschreibungsschwelle direktvergabefähig — dadurch schneller startklar als über ein formales Vergabeverfahren.</w:t>
      </w:r>
    </w:p>
    <w:p>
      <w:pPr>
        <w:spacing w:after="80" w:before="160"/>
      </w:pPr>
      <w:r>
        <w:rPr>
          <w:rFonts w:ascii="Inter" w:cs="Inter" w:eastAsia="Inter" w:hAnsi="Inter"/>
          <w:b/>
          <w:bCs/>
          <w:color w:val="243020"/>
          <w:sz w:val="21"/>
          <w:szCs w:val="21"/>
        </w:rPr>
        <w:t xml:space="preserve">Nächster Schritt</w:t>
      </w:r>
    </w:p>
    <w:p>
      <w:pPr>
        <w:spacing w:after="140" w:line="300"/>
      </w:pPr>
      <w:r>
        <w:rPr>
          <w:rFonts w:ascii="Inter" w:cs="Inter" w:eastAsia="Inter" w:hAnsi="Inter"/>
          <w:b w:val="false"/>
          <w:bCs w:val="false"/>
          <w:i w:val="false"/>
          <w:iCs w:val="false"/>
          <w:color w:val="2B2B28"/>
          <w:sz w:val="20"/>
          <w:szCs w:val="20"/>
        </w:rPr>
        <w:t xml:space="preserve">Ein kostenloses, unverbindliches Gespräch — vor Ort oder im Rathaus —, in dem wir gemeinsam auf Ihre Flächenbilanz schauen und mögliche erste Maßnahmen besprechen.</w:t>
      </w:r>
    </w:p>
    <w:p>
      <w:pPr>
        <w:spacing w:after="140" w:line="300"/>
      </w:pPr>
      <w:r>
        <w:rPr>
          <w:rFonts w:ascii="Inter" w:cs="Inter" w:eastAsia="Inter" w:hAnsi="Inter"/>
          <w:b w:val="false"/>
          <w:bCs w:val="false"/>
          <w:i/>
          <w:iCs/>
          <w:color w:val="2B2B28"/>
          <w:sz w:val="20"/>
          <w:szCs w:val="20"/>
        </w:rPr>
        <w:t xml:space="preserve">GartenArt &amp; BauProjekte · Tom Seehafer · Saalburgstraße 21 · 61440 Oberursel (Taunus) · [Telefon ergänzen] · [E-Mail ergänzen]</w:t>
      </w:r>
    </w:p>
    <w:p>
      <w:r>
        <w:br w:type="page"/>
      </w:r>
    </w:p>
    <w:p>
      <w:pPr>
        <w:spacing w:after="60"/>
      </w:pPr>
      <w:r>
        <w:rPr>
          <w:rFonts w:ascii="Inter" w:cs="Inter" w:eastAsia="Inter" w:hAnsi="Inter"/>
          <w:b/>
          <w:bCs/>
          <w:color w:val="B99A4E"/>
          <w:spacing w:val="40"/>
          <w:sz w:val="16"/>
          <w:szCs w:val="16"/>
        </w:rPr>
        <w:t xml:space="preserve">AKQUISETEXT · B2B</w:t>
      </w:r>
    </w:p>
    <w:p>
      <w:pPr>
        <w:pStyle w:val="Heading1"/>
        <w:pBdr>
          <w:bottom w:val="single" w:color="B99A4E" w:sz="6" w:space="4"/>
        </w:pBdr>
        <w:spacing w:after="140" w:before="320"/>
      </w:pPr>
      <w:r>
        <w:rPr>
          <w:rFonts w:ascii="Spectral" w:cs="Spectral" w:eastAsia="Spectral" w:hAnsi="Spectral"/>
          <w:b/>
          <w:bCs/>
          <w:color w:val="2F3D2B"/>
          <w:sz w:val="34"/>
          <w:szCs w:val="34"/>
        </w:rPr>
        <w:t xml:space="preserve">Unternehmen: VSME-Umweltdatenpunkte</w:t>
      </w:r>
    </w:p>
    <w:p>
      <w:pPr>
        <w:spacing w:after="80" w:before="160"/>
      </w:pPr>
      <w:r>
        <w:rPr>
          <w:rFonts w:ascii="Inter" w:cs="Inter" w:eastAsia="Inter" w:hAnsi="Inter"/>
          <w:b/>
          <w:bCs/>
          <w:color w:val="243020"/>
          <w:sz w:val="21"/>
          <w:szCs w:val="21"/>
        </w:rPr>
        <w:t xml:space="preserve">Ausgangslage</w:t>
      </w:r>
    </w:p>
    <w:p>
      <w:pPr>
        <w:spacing w:after="140" w:line="300"/>
      </w:pPr>
      <w:r>
        <w:rPr>
          <w:rFonts w:ascii="Inter" w:cs="Inter" w:eastAsia="Inter" w:hAnsi="Inter"/>
          <w:b w:val="false"/>
          <w:bCs w:val="false"/>
          <w:i w:val="false"/>
          <w:iCs w:val="false"/>
          <w:color w:val="2B2B28"/>
          <w:sz w:val="20"/>
          <w:szCs w:val="20"/>
        </w:rPr>
        <w:t xml:space="preserve">Seit dem 30. Juli 2025 empfiehlt die EU-Kommission offiziell den VSME-Standard — einen freiwilligen, vereinfachten ESG-Berichtsstandard für kleine und mittlere Unternehmen, die selbst nicht unter die CSRD-Berichtspflicht fallen. Der Standard gewinnt an Bedeutung, weil größere Kunden, Banken und Investoren zunehmend gezielt ESG-Daten entlang der Lieferkette abfragen — meist über einen standardisierten VSME-Fragebogen statt individueller Anfragen.</w:t>
      </w:r>
    </w:p>
    <w:p>
      <w:pPr>
        <w:spacing w:after="80" w:before="160"/>
      </w:pPr>
      <w:r>
        <w:rPr>
          <w:rFonts w:ascii="Inter" w:cs="Inter" w:eastAsia="Inter" w:hAnsi="Inter"/>
          <w:b/>
          <w:bCs/>
          <w:color w:val="243020"/>
          <w:sz w:val="21"/>
          <w:szCs w:val="21"/>
        </w:rPr>
        <w:t xml:space="preserve">Was betrifft Sie konkret?</w:t>
      </w:r>
    </w:p>
    <w:p>
      <w:pPr>
        <w:spacing w:after="140" w:line="300"/>
      </w:pPr>
      <w:r>
        <w:rPr>
          <w:rFonts w:ascii="Inter" w:cs="Inter" w:eastAsia="Inter" w:hAnsi="Inter"/>
          <w:b w:val="false"/>
          <w:bCs w:val="false"/>
          <w:i w:val="false"/>
          <w:iCs w:val="false"/>
          <w:color w:val="2B2B28"/>
          <w:sz w:val="20"/>
          <w:szCs w:val="20"/>
        </w:rPr>
        <w:t xml:space="preserve">Das VSME-Basismodul umfasst 51 Datenpunkte, darunter im Bereich Umwelt: Flächenversiegelung, Biodiversität und Grünflächenanteil. Genau das sind die Kennzahlen zu Ihrem Firmengelände — und die meisten Unternehmen können sie heute nicht belastbar dokumentieren, sondern nur beschreiben.</w:t>
      </w:r>
    </w:p>
    <w:p>
      <w:pPr>
        <w:spacing w:after="80" w:before="160"/>
      </w:pPr>
      <w:r>
        <w:rPr>
          <w:rFonts w:ascii="Inter" w:cs="Inter" w:eastAsia="Inter" w:hAnsi="Inter"/>
          <w:b/>
          <w:bCs/>
          <w:color w:val="243020"/>
          <w:sz w:val="21"/>
          <w:szCs w:val="21"/>
        </w:rPr>
        <w:t xml:space="preserve">Warum das Thema jetzt an Fahrt aufnimmt</w:t>
      </w:r>
    </w:p>
    <w:p>
      <w:pPr>
        <w:spacing w:after="140" w:line="300"/>
      </w:pPr>
      <w:r>
        <w:rPr>
          <w:rFonts w:ascii="Inter" w:cs="Inter" w:eastAsia="Inter" w:hAnsi="Inter"/>
          <w:b w:val="false"/>
          <w:bCs w:val="false"/>
          <w:i w:val="false"/>
          <w:iCs w:val="false"/>
          <w:color w:val="2B2B28"/>
          <w:sz w:val="20"/>
          <w:szCs w:val="20"/>
        </w:rPr>
        <w:t xml:space="preserve">Nach der Reform des CSRD-Rahmens (Omnibus I, in Kraft seit 18. März 2026) berichten künftig nur noch Großkonzerne über 1.000 Mitarbeitende und 450 Millionen Euro Jahresnettoumsatz direkt nach CSRD. Diese Konzerne geben den Anfragedruck aber an ihre Zulieferer und Dienstleister weiter — über freiwillige VSME-Abfragen. Wer als mittelständisches Unternehmen im Rhein-Main-Gebiet Zulieferer oder Dienstleister eines solchen Großkunden oder einer Bank ist, bekommt diese Anfragen zunehmend direkt auf den Tisch.</w:t>
      </w:r>
    </w:p>
    <w:p>
      <w:pPr>
        <w:spacing w:after="80" w:before="160"/>
      </w:pPr>
      <w:r>
        <w:rPr>
          <w:rFonts w:ascii="Inter" w:cs="Inter" w:eastAsia="Inter" w:hAnsi="Inter"/>
          <w:b/>
          <w:bCs/>
          <w:color w:val="243020"/>
          <w:sz w:val="21"/>
          <w:szCs w:val="21"/>
        </w:rPr>
        <w:t xml:space="preserve">Unser Angebot</w:t>
      </w:r>
    </w:p>
    <w:p>
      <w:pPr>
        <w:pStyle w:val="ListParagraph"/>
        <w:numPr>
          <w:ilvl w:val="0"/>
          <w:numId w:val="2"/>
        </w:numPr>
        <w:spacing w:after="80" w:line="300"/>
      </w:pPr>
      <w:r>
        <w:rPr>
          <w:rFonts w:ascii="Inter" w:cs="Inter" w:eastAsia="Inter" w:hAnsi="Inter"/>
          <w:color w:val="2B2B28"/>
          <w:sz w:val="20"/>
          <w:szCs w:val="20"/>
        </w:rPr>
        <w:t xml:space="preserve">Erhebung des Versiegelungsgrads Ihrer Freifläche</w:t>
      </w:r>
    </w:p>
    <w:p>
      <w:pPr>
        <w:pStyle w:val="ListParagraph"/>
        <w:numPr>
          <w:ilvl w:val="0"/>
          <w:numId w:val="2"/>
        </w:numPr>
        <w:spacing w:after="80" w:line="300"/>
      </w:pPr>
      <w:r>
        <w:rPr>
          <w:rFonts w:ascii="Inter" w:cs="Inter" w:eastAsia="Inter" w:hAnsi="Inter"/>
          <w:color w:val="2B2B28"/>
          <w:sz w:val="20"/>
          <w:szCs w:val="20"/>
        </w:rPr>
        <w:t xml:space="preserve">Einschätzung des Biodiversitätspotenzials</w:t>
      </w:r>
    </w:p>
    <w:p>
      <w:pPr>
        <w:pStyle w:val="ListParagraph"/>
        <w:numPr>
          <w:ilvl w:val="0"/>
          <w:numId w:val="2"/>
        </w:numPr>
        <w:spacing w:after="80" w:line="300"/>
      </w:pPr>
      <w:r>
        <w:rPr>
          <w:rFonts w:ascii="Inter" w:cs="Inter" w:eastAsia="Inter" w:hAnsi="Inter"/>
          <w:color w:val="2B2B28"/>
          <w:sz w:val="20"/>
          <w:szCs w:val="20"/>
        </w:rPr>
        <w:t xml:space="preserve">Erfassung des Anteils heimischer Bepflanzung</w:t>
      </w:r>
    </w:p>
    <w:p>
      <w:pPr>
        <w:pStyle w:val="ListParagraph"/>
        <w:numPr>
          <w:ilvl w:val="0"/>
          <w:numId w:val="2"/>
        </w:numPr>
        <w:spacing w:after="80" w:line="300"/>
      </w:pPr>
      <w:r>
        <w:rPr>
          <w:rFonts w:ascii="Inter" w:cs="Inter" w:eastAsia="Inter" w:hAnsi="Inter"/>
          <w:color w:val="2B2B28"/>
          <w:sz w:val="20"/>
          <w:szCs w:val="20"/>
        </w:rPr>
        <w:t xml:space="preserve">Bewertung des Regenwassermanagements</w:t>
      </w:r>
    </w:p>
    <w:p>
      <w:pPr>
        <w:pStyle w:val="ListParagraph"/>
        <w:numPr>
          <w:ilvl w:val="0"/>
          <w:numId w:val="2"/>
        </w:numPr>
        <w:spacing w:after="80" w:line="300"/>
      </w:pPr>
      <w:r>
        <w:rPr>
          <w:rFonts w:ascii="Inter" w:cs="Inter" w:eastAsia="Inter" w:hAnsi="Inter"/>
          <w:color w:val="2B2B28"/>
          <w:sz w:val="20"/>
          <w:szCs w:val="20"/>
        </w:rPr>
        <w:t xml:space="preserve">Optional: Aufwertungsplan nach heimischem Standard, wenn die Kennzahlen verbessert werden sollen</w:t>
      </w:r>
    </w:p>
    <w:p>
      <w:pPr>
        <w:pStyle w:val="ListParagraph"/>
        <w:numPr>
          <w:ilvl w:val="0"/>
          <w:numId w:val="2"/>
        </w:numPr>
        <w:spacing w:after="80" w:line="300"/>
      </w:pPr>
      <w:r>
        <w:rPr>
          <w:rFonts w:ascii="Inter" w:cs="Inter" w:eastAsia="Inter" w:hAnsi="Inter"/>
          <w:color w:val="2B2B28"/>
          <w:sz w:val="20"/>
          <w:szCs w:val="20"/>
        </w:rPr>
        <w:t xml:space="preserve">Optional: jährliches Monitoring als wiederkehrende Datengrundlage für künftige Anfragen</w:t>
      </w:r>
    </w:p>
    <w:p>
      <w:pPr>
        <w:spacing w:after="140" w:line="300"/>
      </w:pPr>
      <w:r>
        <w:rPr>
          <w:rFonts w:ascii="Inter" w:cs="Inter" w:eastAsia="Inter" w:hAnsi="Inter"/>
          <w:b w:val="false"/>
          <w:bCs w:val="false"/>
          <w:i w:val="false"/>
          <w:iCs w:val="false"/>
          <w:color w:val="2B2B28"/>
          <w:sz w:val="20"/>
          <w:szCs w:val="20"/>
        </w:rPr>
        <w:t xml:space="preserve">Ergebnis ist eine dokumentierte, nachvollziehbare Flächenbewertung [GK] — keine Beratung, sondern die geprüften Daten, auf denen Ihr ESG-Bericht aufbaut.</w:t>
      </w:r>
    </w:p>
    <w:p>
      <w:pPr>
        <w:spacing w:after="80" w:before="160"/>
      </w:pPr>
      <w:r>
        <w:rPr>
          <w:rFonts w:ascii="Inter" w:cs="Inter" w:eastAsia="Inter" w:hAnsi="Inter"/>
          <w:b/>
          <w:bCs/>
          <w:color w:val="243020"/>
          <w:sz w:val="21"/>
          <w:szCs w:val="21"/>
        </w:rPr>
        <w:t xml:space="preserve">Zusätzlicher Finanzierungshebel</w:t>
      </w:r>
    </w:p>
    <w:p>
      <w:pPr>
        <w:spacing w:after="140" w:line="300"/>
      </w:pPr>
      <w:r>
        <w:rPr>
          <w:rFonts w:ascii="Inter" w:cs="Inter" w:eastAsia="Inter" w:hAnsi="Inter"/>
          <w:b w:val="false"/>
          <w:bCs w:val="false"/>
          <w:i w:val="false"/>
          <w:iCs w:val="false"/>
          <w:color w:val="2B2B28"/>
          <w:sz w:val="20"/>
          <w:szCs w:val="20"/>
        </w:rPr>
        <w:t xml:space="preserve">Das KfW-Umweltprogramm für Unternehmen fördert aus ANK-Mitteln seit dem 15. Juli 2023 gewerbliche Maßnahmen wie naturnahe Grünflächen, Gebäudebegrünung oder lokales Niederschlagsmanagement — mit bis zu 50 Millionen Euro jährlich bundesweit.</w:t>
      </w:r>
    </w:p>
    <w:p>
      <w:pPr>
        <w:shd w:fill="FAF8F2" w:val="clear"/>
        <w:spacing w:after="160"/>
      </w:pPr>
      <w:r>
        <w:rPr>
          <w:rFonts w:ascii="Inter" w:cs="Inter" w:eastAsia="Inter" w:hAnsi="Inter"/>
          <w:i/>
          <w:iCs/>
          <w:color w:val="6E6A5F"/>
          <w:sz w:val="18"/>
          <w:szCs w:val="18"/>
        </w:rPr>
        <w:t xml:space="preserve">  Konditionen vor jeder Zusage aktuell bei der KfW prüfen.</w:t>
      </w:r>
    </w:p>
    <w:p>
      <w:pPr>
        <w:spacing w:after="80" w:before="160"/>
      </w:pPr>
      <w:r>
        <w:rPr>
          <w:rFonts w:ascii="Inter" w:cs="Inter" w:eastAsia="Inter" w:hAnsi="Inter"/>
          <w:b/>
          <w:bCs/>
          <w:color w:val="243020"/>
          <w:sz w:val="21"/>
          <w:szCs w:val="21"/>
        </w:rPr>
        <w:t xml:space="preserve">Warum GartenArt &amp; BauProjekte</w:t>
      </w:r>
    </w:p>
    <w:p>
      <w:pPr>
        <w:spacing w:after="140" w:line="300"/>
      </w:pPr>
      <w:r>
        <w:rPr>
          <w:rFonts w:ascii="Inter" w:cs="Inter" w:eastAsia="Inter" w:hAnsi="Inter"/>
          <w:b w:val="false"/>
          <w:bCs w:val="false"/>
          <w:i w:val="false"/>
          <w:iCs w:val="false"/>
          <w:color w:val="2B2B28"/>
          <w:sz w:val="20"/>
          <w:szCs w:val="20"/>
        </w:rPr>
        <w:t xml:space="preserve">Wir sind kein Nachhaltigkeitsberater und schreiben keine ESG-Berichte. Wir liefern die zugrundeliegende, fachlich geprüfte Grünflächendatenbasis — den Teil, den ein Berater von einem Fachbetrieb braucht und selbst nicht liefern kann.</w:t>
      </w:r>
    </w:p>
    <w:p>
      <w:pPr>
        <w:spacing w:after="80" w:before="160"/>
      </w:pPr>
      <w:r>
        <w:rPr>
          <w:rFonts w:ascii="Inter" w:cs="Inter" w:eastAsia="Inter" w:hAnsi="Inter"/>
          <w:b/>
          <w:bCs/>
          <w:color w:val="243020"/>
          <w:sz w:val="21"/>
          <w:szCs w:val="21"/>
        </w:rPr>
        <w:t xml:space="preserve">Nächster Schritt</w:t>
      </w:r>
    </w:p>
    <w:p>
      <w:pPr>
        <w:spacing w:after="140" w:line="300"/>
      </w:pPr>
      <w:r>
        <w:rPr>
          <w:rFonts w:ascii="Inter" w:cs="Inter" w:eastAsia="Inter" w:hAnsi="Inter"/>
          <w:b w:val="false"/>
          <w:bCs w:val="false"/>
          <w:i w:val="false"/>
          <w:iCs w:val="false"/>
          <w:color w:val="2B2B28"/>
          <w:sz w:val="20"/>
          <w:szCs w:val="20"/>
        </w:rPr>
        <w:t xml:space="preserve">Ein unverbindliches Erstgespräch, 30 Minuten, direkt auf Ihrem Betriebsgelände.</w:t>
      </w:r>
    </w:p>
    <w:p>
      <w:pPr>
        <w:spacing w:after="140" w:line="300"/>
      </w:pPr>
      <w:r>
        <w:rPr>
          <w:rFonts w:ascii="Inter" w:cs="Inter" w:eastAsia="Inter" w:hAnsi="Inter"/>
          <w:b w:val="false"/>
          <w:bCs w:val="false"/>
          <w:i/>
          <w:iCs/>
          <w:color w:val="2B2B28"/>
          <w:sz w:val="20"/>
          <w:szCs w:val="20"/>
        </w:rPr>
        <w:t xml:space="preserve">GartenArt &amp; BauProjekte · Tom Seehafer · Saalburgstraße 21 · 61440 Oberursel (Taunus) · [Telefon ergänzen] · [E-Mail ergänzen]</w:t>
      </w:r>
    </w:p>
    <w:p>
      <w:r>
        <w:br w:type="page"/>
      </w:r>
    </w:p>
    <w:p>
      <w:pPr>
        <w:pStyle w:val="Heading1"/>
        <w:pBdr>
          <w:bottom w:val="single" w:color="B99A4E" w:sz="6" w:space="4"/>
        </w:pBdr>
        <w:spacing w:after="140" w:before="320"/>
      </w:pPr>
      <w:r>
        <w:rPr>
          <w:rFonts w:ascii="Spectral" w:cs="Spectral" w:eastAsia="Spectral" w:hAnsi="Spectral"/>
          <w:b/>
          <w:bCs/>
          <w:color w:val="2F3D2B"/>
          <w:sz w:val="34"/>
          <w:szCs w:val="34"/>
        </w:rPr>
        <w:t xml:space="preserve">Checkliste vor der ersten Verwendung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2F3D2B" w:val="clear"/>
            <w:tcMar>
              <w:top w:type="dxa" w:w="80"/>
              <w:left w:type="dxa" w:w="100"/>
              <w:bottom w:type="dxa" w:w="80"/>
              <w:right w:type="dxa" w:w="100"/>
            </w:tcMar>
          </w:tcPr>
          <w:p>
            <w:r>
              <w:rPr>
                <w:rFonts w:ascii="Inter" w:cs="Inter" w:eastAsia="Inter" w:hAnsi="Inter"/>
                <w:b/>
                <w:bCs/>
                <w:color w:val="FAF8F2"/>
                <w:sz w:val="18"/>
                <w:szCs w:val="18"/>
              </w:rPr>
              <w:t xml:space="preserve">Punkt</w:t>
            </w:r>
          </w:p>
        </w:tc>
        <w:tc>
          <w:tcPr>
            <w:tcW w:type="dxa" w:w="3000"/>
            <w:shd w:fill="2F3D2B" w:val="clear"/>
            <w:tcMar>
              <w:top w:type="dxa" w:w="80"/>
              <w:left w:type="dxa" w:w="100"/>
              <w:bottom w:type="dxa" w:w="80"/>
              <w:right w:type="dxa" w:w="100"/>
            </w:tcMar>
          </w:tcPr>
          <w:p>
            <w:r>
              <w:rPr>
                <w:rFonts w:ascii="Inter" w:cs="Inter" w:eastAsia="Inter" w:hAnsi="Inter"/>
                <w:b/>
                <w:bCs/>
                <w:color w:val="FAF8F2"/>
                <w:sz w:val="18"/>
                <w:szCs w:val="18"/>
              </w:rPr>
              <w:t xml:space="preserve">Status</w:t>
            </w:r>
          </w:p>
        </w:tc>
      </w:tr>
      <w:tr>
        <w:tc>
          <w:tcPr>
            <w:tcW w:type="dxa" w:w="6350"/>
            <w:tcMar>
              <w:top w:type="dxa" w:w="80"/>
              <w:left w:type="dxa" w:w="100"/>
              <w:bottom w:type="dxa" w:w="80"/>
              <w:right w:type="dxa" w:w="100"/>
            </w:tcMar>
          </w:tcPr>
          <w:p>
            <w:r>
              <w:rPr>
                <w:rFonts w:ascii="Inter" w:cs="Inter" w:eastAsia="Inter" w:hAnsi="Inter"/>
                <w:b w:val="false"/>
                <w:bCs w:val="false"/>
                <w:color w:val="2B2B28"/>
                <w:sz w:val="18"/>
                <w:szCs w:val="18"/>
              </w:rPr>
              <w:t xml:space="preserve">Telefonnummer und E-Mail im Kontaktblock ergänzen</w:t>
            </w:r>
          </w:p>
        </w:tc>
        <w:tc>
          <w:tcPr>
            <w:tcW w:type="dxa" w:w="3000"/>
            <w:tcMar>
              <w:top w:type="dxa" w:w="80"/>
              <w:left w:type="dxa" w:w="100"/>
              <w:bottom w:type="dxa" w:w="80"/>
              <w:right w:type="dxa" w:w="100"/>
            </w:tcMar>
          </w:tcPr>
          <w:p>
            <w:r>
              <w:rPr>
                <w:rFonts w:ascii="Inter" w:cs="Inter" w:eastAsia="Inter" w:hAnsi="Inter"/>
                <w:b w:val="false"/>
                <w:bCs w:val="false"/>
                <w:color w:val="2B2B28"/>
                <w:sz w:val="18"/>
                <w:szCs w:val="18"/>
              </w:rPr>
              <w:t xml:space="preserve">offen</w:t>
            </w:r>
          </w:p>
        </w:tc>
      </w:tr>
      <w:tr>
        <w:tc>
          <w:tcPr>
            <w:tcW w:type="dxa" w:w="6350"/>
            <w:tcMar>
              <w:top w:type="dxa" w:w="80"/>
              <w:left w:type="dxa" w:w="100"/>
              <w:bottom w:type="dxa" w:w="80"/>
              <w:right w:type="dxa" w:w="100"/>
            </w:tcMar>
          </w:tcPr>
          <w:p>
            <w:r>
              <w:rPr>
                <w:rFonts w:ascii="Inter" w:cs="Inter" w:eastAsia="Inter" w:hAnsi="Inter"/>
                <w:b w:val="false"/>
                <w:bCs w:val="false"/>
                <w:color w:val="2B2B28"/>
                <w:sz w:val="18"/>
                <w:szCs w:val="18"/>
              </w:rPr>
              <w:t xml:space="preserve">ANK-/KfW-444- und KfW-Umweltprogramm-Konditionen aktuell verifizieren</w:t>
            </w:r>
          </w:p>
        </w:tc>
        <w:tc>
          <w:tcPr>
            <w:tcW w:type="dxa" w:w="3000"/>
            <w:tcMar>
              <w:top w:type="dxa" w:w="80"/>
              <w:left w:type="dxa" w:w="100"/>
              <w:bottom w:type="dxa" w:w="80"/>
              <w:right w:type="dxa" w:w="100"/>
            </w:tcMar>
          </w:tcPr>
          <w:p>
            <w:r>
              <w:rPr>
                <w:rFonts w:ascii="Inter" w:cs="Inter" w:eastAsia="Inter" w:hAnsi="Inter"/>
                <w:b w:val="false"/>
                <w:bCs w:val="false"/>
                <w:color w:val="2B2B28"/>
                <w:sz w:val="18"/>
                <w:szCs w:val="18"/>
              </w:rPr>
              <w:t xml:space="preserve">offen</w:t>
            </w:r>
          </w:p>
        </w:tc>
      </w:tr>
      <w:tr>
        <w:tc>
          <w:tcPr>
            <w:tcW w:type="dxa" w:w="6350"/>
            <w:tcMar>
              <w:top w:type="dxa" w:w="80"/>
              <w:left w:type="dxa" w:w="100"/>
              <w:bottom w:type="dxa" w:w="80"/>
              <w:right w:type="dxa" w:w="100"/>
            </w:tcMar>
          </w:tcPr>
          <w:p>
            <w:r>
              <w:rPr>
                <w:rFonts w:ascii="Inter" w:cs="Inter" w:eastAsia="Inter" w:hAnsi="Inter"/>
                <w:b w:val="false"/>
                <w:bCs w:val="false"/>
                <w:color w:val="2B2B28"/>
                <w:sz w:val="18"/>
                <w:szCs w:val="18"/>
              </w:rPr>
              <w:t xml:space="preserve">[GK]-Platzhalter erst nach DPMA-Eintragung durch den Markennamen ersetzen</w:t>
            </w:r>
          </w:p>
        </w:tc>
        <w:tc>
          <w:tcPr>
            <w:tcW w:type="dxa" w:w="3000"/>
            <w:tcMar>
              <w:top w:type="dxa" w:w="80"/>
              <w:left w:type="dxa" w:w="100"/>
              <w:bottom w:type="dxa" w:w="80"/>
              <w:right w:type="dxa" w:w="100"/>
            </w:tcMar>
          </w:tcPr>
          <w:p>
            <w:r>
              <w:rPr>
                <w:rFonts w:ascii="Inter" w:cs="Inter" w:eastAsia="Inter" w:hAnsi="Inter"/>
                <w:b w:val="false"/>
                <w:bCs w:val="false"/>
                <w:color w:val="2B2B28"/>
                <w:sz w:val="18"/>
                <w:szCs w:val="18"/>
              </w:rPr>
              <w:t xml:space="preserve">wartet auf Anmeldung</w:t>
            </w:r>
          </w:p>
        </w:tc>
      </w:tr>
      <w:tr>
        <w:tc>
          <w:tcPr>
            <w:tcW w:type="dxa" w:w="6350"/>
            <w:tcMar>
              <w:top w:type="dxa" w:w="80"/>
              <w:left w:type="dxa" w:w="100"/>
              <w:bottom w:type="dxa" w:w="80"/>
              <w:right w:type="dxa" w:w="100"/>
            </w:tcMar>
          </w:tcPr>
          <w:p>
            <w:r>
              <w:rPr>
                <w:rFonts w:ascii="Inter" w:cs="Inter" w:eastAsia="Inter" w:hAnsi="Inter"/>
                <w:b w:val="false"/>
                <w:bCs w:val="false"/>
                <w:color w:val="2B2B28"/>
                <w:sz w:val="18"/>
                <w:szCs w:val="18"/>
              </w:rPr>
              <w:t xml:space="preserve">Zielkommune bzw. Zielunternehmen im Text konkret einsetzen ([Gemeinde], Ansprechpartner)</w:t>
            </w:r>
          </w:p>
        </w:tc>
        <w:tc>
          <w:tcPr>
            <w:tcW w:type="dxa" w:w="3000"/>
            <w:tcMar>
              <w:top w:type="dxa" w:w="80"/>
              <w:left w:type="dxa" w:w="100"/>
              <w:bottom w:type="dxa" w:w="80"/>
              <w:right w:type="dxa" w:w="100"/>
            </w:tcMar>
          </w:tcPr>
          <w:p>
            <w:r>
              <w:rPr>
                <w:rFonts w:ascii="Inter" w:cs="Inter" w:eastAsia="Inter" w:hAnsi="Inter"/>
                <w:b w:val="false"/>
                <w:bCs w:val="false"/>
                <w:color w:val="2B2B28"/>
                <w:sz w:val="18"/>
                <w:szCs w:val="18"/>
              </w:rPr>
              <w:t xml:space="preserve">pro Kontakt individuell</w:t>
            </w:r>
          </w:p>
        </w:tc>
      </w:tr>
      <w:tr>
        <w:tc>
          <w:tcPr>
            <w:tcW w:type="dxa" w:w="6350"/>
            <w:tcMar>
              <w:top w:type="dxa" w:w="80"/>
              <w:left w:type="dxa" w:w="100"/>
              <w:bottom w:type="dxa" w:w="80"/>
              <w:right w:type="dxa" w:w="100"/>
            </w:tcMar>
          </w:tcPr>
          <w:p>
            <w:r>
              <w:rPr>
                <w:rFonts w:ascii="Inter" w:cs="Inter" w:eastAsia="Inter" w:hAnsi="Inter"/>
                <w:b w:val="false"/>
                <w:bCs w:val="false"/>
                <w:color w:val="2B2B28"/>
                <w:sz w:val="18"/>
                <w:szCs w:val="18"/>
              </w:rPr>
              <w:t xml:space="preserve">Texte bei Bedarf für E-Mail bzw. Flyer kürzen (siehe Verwendungshinweis oben)</w:t>
            </w:r>
          </w:p>
        </w:tc>
        <w:tc>
          <w:tcPr>
            <w:tcW w:type="dxa" w:w="3000"/>
            <w:tcMar>
              <w:top w:type="dxa" w:w="80"/>
              <w:left w:type="dxa" w:w="100"/>
              <w:bottom w:type="dxa" w:w="80"/>
              <w:right w:type="dxa" w:w="100"/>
            </w:tcMar>
          </w:tcPr>
          <w:p>
            <w:r>
              <w:rPr>
                <w:rFonts w:ascii="Inter" w:cs="Inter" w:eastAsia="Inter" w:hAnsi="Inter"/>
                <w:b w:val="false"/>
                <w:bCs w:val="false"/>
                <w:color w:val="2B2B28"/>
                <w:sz w:val="18"/>
                <w:szCs w:val="18"/>
              </w:rPr>
              <w:t xml:space="preserve">pro Kanal individuell</w:t>
            </w:r>
          </w:p>
        </w:tc>
      </w:tr>
    </w:tbl>
    <w:p>
      <w:pPr>
        <w:shd w:fill="FAF8F2" w:val="clear"/>
        <w:spacing w:after="160"/>
      </w:pPr>
      <w:r>
        <w:rPr>
          <w:rFonts w:ascii="Inter" w:cs="Inter" w:eastAsia="Inter" w:hAnsi="Inter"/>
          <w:i/>
          <w:iCs/>
          <w:color w:val="6E6A5F"/>
          <w:sz w:val="18"/>
          <w:szCs w:val="18"/>
        </w:rPr>
        <w:t xml:space="preserve">  Rechtlicher Hinweis: Angaben zu Förderquoten, Fristen und Schwellenwerten stammen aus den hinterlegten Briefings (Stand 06.09.2026) und sind vor jedem Kundengespräch zu verifizieren.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2026-09-06T09:37:04.240Z</dcterms:created>
  <dcterms:modified xsi:type="dcterms:W3CDTF">2026-09-06T09:37:04.252Z</dcterms:modified>
</cp:coreProperties>
</file>

<file path=docProps/custom.xml><?xml version="1.0" encoding="utf-8"?>
<Properties xmlns="http://schemas.openxmlformats.org/officeDocument/2006/custom-properties" xmlns:vt="http://schemas.openxmlformats.org/officeDocument/2006/docPropsVTypes"/>
</file>