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Lauren Syverson</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Industry Internship Program; $5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Senior, Aerospace Engineering</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John Edquist</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Test Automation for eConnect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Manual testing of systems controlled by a single eConnectTM requires weeks to complete. With the use of test automation, the time required for testing will be reduced to requiring only a few hours. Test automation is done with the use of Bash scripts. The Bash scripts that were created for test automation include moving map, cabin lights, and a system configuration editor. Some minor edits were made to the previously created Bash scripts such as DVT-Menu. The new Bash scripts are explained in high level detail. The results files from the tests are used to verify that the eConnectTM meet customer requirements. The results files are also used for traceability.</w:t>
        <w:br/>
        <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Lauren Syverson is a Dual Degree student pursuing a Bachelor of Science degree in Applied Physics from University of Wisconsin – River Falls. She is also pursuing and a Bachelor of Science degree in Aerospace Engineering and Mechanics with a Minor in Astrophysics from University of Minnesota – Twin Cities. In the summer of 2017, Lauren worked as a Systems Engineer Intern at Rockwell Collins. While working, she was the recipient of the Industry Internship award as part of Wisconsin Space Grant Consortium. In the summer of 2016, Lauren worked as a Technical Writer at C2X Solutions. She was the recipient of the Dr. Henry Tranmal scholarship in April 2015.  Currently Lauren lives near Beldenville, Wisconsin. In her spare time, Lauren enjoys reading, watching movies, and spending time with her family.</w:t>
        <w:br/>
        <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4</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Gwen Moore</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