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Megan Janiak</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Sophomore,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Megan Janiak is a sophomore physics and chemistry major with a minor in mathematics at Carthage College. She is currently a member of the Microgravity Team, Lake Michigan Launchers, and Chemistry Club. She is a co-president of Carthage’s chapter of Society of Physics Students. Megan also enjoys playing the viola in the Carthage Philharmonic.</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