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Tyler Rasmussen</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$4000.00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 </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Tyler Rasmussen is a sophomore at University of Wisconsin-Fox Valley majoring in Mechanical</w:t>
        <w:br/>
        <w:t>Engineering. He presently holds a position in parcel recovery for various airlines at the Austin Straubel</w:t>
        <w:br/>
        <w:t>and Appleton International Airports. Tyler has been elected president of the 2016-17 Chemistry Club on campus and is also a member of the Engineering Club. In his free time, he utilizes his mechanical</w:t>
        <w:br/>
        <w:t>aptitude by customizing his car. After attaining his bachelor’s degree, he plans to further his education in areas such as astrophysics, chemistry, and nanotechnology. Tyler plans to utilize his education by</w:t>
        <w:br/>
        <w:t>working in the aerospace industry.</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6</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Glenn Grothman</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