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7781F" w14:textId="0E61694B" w:rsidR="00574EC8" w:rsidRDefault="00000000" w:rsidP="00023B04">
      <w:pPr>
        <w:pStyle w:val="Title"/>
      </w:pPr>
      <w:r w:rsidRPr="00023B04">
        <w:t>Database Architecture Documentation</w:t>
      </w:r>
      <w:r>
        <w:t xml:space="preserve"> </w:t>
      </w:r>
      <w:r w:rsidRPr="00023B04">
        <w:rPr>
          <w:rStyle w:val="SubtitleChar"/>
        </w:rPr>
        <w:t>Shared Credit Card Reconciliation App</w:t>
      </w:r>
    </w:p>
    <w:p w14:paraId="4FE83B71" w14:textId="68939292" w:rsidR="00574EC8" w:rsidRDefault="00000000" w:rsidP="0027001E">
      <w:pPr>
        <w:pStyle w:val="Heading1"/>
      </w:pPr>
      <w:r>
        <w:t>Purpose of this Document</w:t>
      </w:r>
    </w:p>
    <w:p w14:paraId="1B3D3366" w14:textId="77777777" w:rsidR="00574EC8" w:rsidRDefault="00000000">
      <w:r>
        <w:t>This document defines the recommended database architecture for the Shared Credit Card Reconciliation App. It explains the data modelling principles, core tables, data flows, and refresh logic required to support supplementary cardholder attribution, payment reconciliation, and auditability. It also provides a final recommendation for the database technology to be used for the MVP.</w:t>
      </w:r>
    </w:p>
    <w:p w14:paraId="15E97F43" w14:textId="7528C15C" w:rsidR="00574EC8" w:rsidRDefault="00000000" w:rsidP="0027001E">
      <w:pPr>
        <w:pStyle w:val="Heading1"/>
      </w:pPr>
      <w:r>
        <w:t>Architectural Principles</w:t>
      </w:r>
    </w:p>
    <w:p w14:paraId="39C3F173" w14:textId="359AD5FA" w:rsidR="00574EC8" w:rsidRDefault="00000000">
      <w:r>
        <w:t>The database architecture is designed around the following principles:</w:t>
      </w:r>
      <w:r>
        <w:br/>
      </w:r>
      <w:r>
        <w:br/>
        <w:t>•</w:t>
      </w:r>
      <w:r w:rsidR="00023B04">
        <w:t xml:space="preserve"> </w:t>
      </w:r>
      <w:r>
        <w:t>Single source of truth for financial data</w:t>
      </w:r>
      <w:r>
        <w:br/>
        <w:t>• Immutable raw data; interpretation layered on top</w:t>
      </w:r>
      <w:r>
        <w:br/>
        <w:t>• Full auditability and traceability of user actions</w:t>
      </w:r>
      <w:r>
        <w:br/>
        <w:t>• Support for ambiguous payments and bulk allocation</w:t>
      </w:r>
      <w:r>
        <w:br/>
        <w:t>• Compatibility with CSV, PDF, and API-based ingestion</w:t>
      </w:r>
      <w:r>
        <w:br/>
        <w:t>• Future-proofing for analytics and ML-assisted workflows</w:t>
      </w:r>
    </w:p>
    <w:p w14:paraId="2D12A6E4" w14:textId="7387DF36" w:rsidR="00574EC8" w:rsidRDefault="00000000" w:rsidP="0027001E">
      <w:pPr>
        <w:pStyle w:val="Heading1"/>
      </w:pPr>
      <w:r>
        <w:t>High-Level Data Model Overview</w:t>
      </w:r>
    </w:p>
    <w:p w14:paraId="3F9931B3" w14:textId="5E76E03A" w:rsidR="00574EC8" w:rsidRDefault="00000000">
      <w:r>
        <w:t xml:space="preserve">The data model is relational and </w:t>
      </w:r>
      <w:r w:rsidR="0027001E">
        <w:t>accounting inspired</w:t>
      </w:r>
      <w:r>
        <w:t>. It separates bank-provided data from user-attributed meaning. All financial calculations are derived dynamically from base tables rather than stored directly.</w:t>
      </w:r>
      <w:r>
        <w:br/>
      </w:r>
      <w:r>
        <w:br/>
        <w:t>Core entity groups:</w:t>
      </w:r>
      <w:r>
        <w:br/>
        <w:t>• Accounts &amp; Users</w:t>
      </w:r>
      <w:r>
        <w:br/>
        <w:t>• Statements &amp; Ingestions</w:t>
      </w:r>
      <w:r>
        <w:br/>
        <w:t>• Transactions (Spend &amp; Refunds)</w:t>
      </w:r>
      <w:r>
        <w:br/>
        <w:t>• Payments</w:t>
      </w:r>
      <w:r>
        <w:br/>
        <w:t>• Payment Allocations</w:t>
      </w:r>
    </w:p>
    <w:p w14:paraId="41C9B87A" w14:textId="77777777" w:rsidR="00023B04" w:rsidRDefault="00023B04"/>
    <w:p w14:paraId="7009AFAD" w14:textId="77777777" w:rsidR="00023B04" w:rsidRDefault="00023B04"/>
    <w:p w14:paraId="6D98CB31" w14:textId="77777777" w:rsidR="00023B04" w:rsidRDefault="00023B04"/>
    <w:p w14:paraId="6ADB210E" w14:textId="77777777" w:rsidR="00023B04" w:rsidRDefault="00023B04"/>
    <w:p w14:paraId="731474B2" w14:textId="680CB507" w:rsidR="00574EC8" w:rsidRDefault="00000000" w:rsidP="0027001E">
      <w:pPr>
        <w:pStyle w:val="Heading1"/>
      </w:pPr>
      <w:r>
        <w:lastRenderedPageBreak/>
        <w:t>Core Tables</w:t>
      </w:r>
    </w:p>
    <w:p w14:paraId="72CDB43E" w14:textId="3E0ED8D2" w:rsidR="00574EC8" w:rsidRDefault="00000000" w:rsidP="0027001E">
      <w:pPr>
        <w:pStyle w:val="Heading2"/>
      </w:pPr>
      <w:r>
        <w:t>Accounts</w:t>
      </w:r>
    </w:p>
    <w:p w14:paraId="588897CC" w14:textId="77777777" w:rsidR="00574EC8" w:rsidRDefault="00000000">
      <w:r>
        <w:t>Stores a single credit card account (e.g. Amex UK account).</w:t>
      </w:r>
      <w:r>
        <w:br/>
      </w:r>
      <w:r>
        <w:br/>
        <w:t>Fields:</w:t>
      </w:r>
      <w:r>
        <w:br/>
        <w:t>• account_id (PK)</w:t>
      </w:r>
      <w:r>
        <w:br/>
        <w:t>• provider (e.g. AMEX)</w:t>
      </w:r>
      <w:r>
        <w:br/>
        <w:t>• provider_account_ref (masked or hashed)</w:t>
      </w:r>
      <w:r>
        <w:br/>
        <w:t>• currency</w:t>
      </w:r>
      <w:r>
        <w:br/>
        <w:t>• created_at</w:t>
      </w:r>
    </w:p>
    <w:p w14:paraId="0B344EE5" w14:textId="0CC23225" w:rsidR="00574EC8" w:rsidRDefault="00000000" w:rsidP="0027001E">
      <w:pPr>
        <w:pStyle w:val="Heading2"/>
      </w:pPr>
      <w:r>
        <w:t>Users</w:t>
      </w:r>
    </w:p>
    <w:p w14:paraId="70C35C3D" w14:textId="77777777" w:rsidR="00574EC8" w:rsidRDefault="00000000">
      <w:r>
        <w:t>Represents individuals linked to an account.</w:t>
      </w:r>
      <w:r>
        <w:br/>
      </w:r>
      <w:r>
        <w:br/>
        <w:t>Fields:</w:t>
      </w:r>
      <w:r>
        <w:br/>
        <w:t>• user_id (PK)</w:t>
      </w:r>
      <w:r>
        <w:br/>
        <w:t>• account_id (FK)</w:t>
      </w:r>
      <w:r>
        <w:br/>
        <w:t>• role (PRIMARY / SUPPLEMENTARY)</w:t>
      </w:r>
      <w:r>
        <w:br/>
        <w:t>• display_name</w:t>
      </w:r>
      <w:r>
        <w:br/>
        <w:t>• created_at</w:t>
      </w:r>
    </w:p>
    <w:p w14:paraId="11B68115" w14:textId="1866175A" w:rsidR="00574EC8" w:rsidRDefault="00000000" w:rsidP="0027001E">
      <w:pPr>
        <w:pStyle w:val="Heading2"/>
      </w:pPr>
      <w:r>
        <w:t>Statements</w:t>
      </w:r>
    </w:p>
    <w:p w14:paraId="2182ABEB" w14:textId="77777777" w:rsidR="00574EC8" w:rsidRDefault="00000000">
      <w:r>
        <w:t>Statements represent immutable snapshots of account activity for a defined period.</w:t>
      </w:r>
      <w:r>
        <w:br/>
      </w:r>
      <w:r>
        <w:br/>
        <w:t>Fields:</w:t>
      </w:r>
      <w:r>
        <w:br/>
        <w:t>• statement_id (PK)</w:t>
      </w:r>
      <w:r>
        <w:br/>
        <w:t>• account_id (FK)</w:t>
      </w:r>
      <w:r>
        <w:br/>
        <w:t>• period_start</w:t>
      </w:r>
      <w:r>
        <w:br/>
        <w:t>• period_end</w:t>
      </w:r>
      <w:r>
        <w:br/>
        <w:t>• statement_date</w:t>
      </w:r>
      <w:r>
        <w:br/>
        <w:t>• source_type (CSV / PDF / API)</w:t>
      </w:r>
      <w:r>
        <w:br/>
        <w:t>• source_file_id</w:t>
      </w:r>
      <w:r>
        <w:br/>
        <w:t>• hash</w:t>
      </w:r>
      <w:r>
        <w:br/>
        <w:t xml:space="preserve">• </w:t>
      </w:r>
      <w:proofErr w:type="spellStart"/>
      <w:r>
        <w:t>created_at</w:t>
      </w:r>
      <w:proofErr w:type="spellEnd"/>
    </w:p>
    <w:p w14:paraId="74AF005C" w14:textId="77777777" w:rsidR="00023B04" w:rsidRDefault="00023B04"/>
    <w:p w14:paraId="3E28505B" w14:textId="77777777" w:rsidR="00023B04" w:rsidRDefault="00023B04"/>
    <w:p w14:paraId="2171B64D" w14:textId="77777777" w:rsidR="00023B04" w:rsidRDefault="00023B04"/>
    <w:p w14:paraId="0C975155" w14:textId="77777777" w:rsidR="00023B04" w:rsidRDefault="00023B04"/>
    <w:p w14:paraId="2D0A0D12" w14:textId="092EC41C" w:rsidR="00574EC8" w:rsidRDefault="00000000" w:rsidP="0027001E">
      <w:pPr>
        <w:pStyle w:val="Heading2"/>
      </w:pPr>
      <w:r>
        <w:lastRenderedPageBreak/>
        <w:t>Transactions</w:t>
      </w:r>
    </w:p>
    <w:p w14:paraId="75A435F1" w14:textId="77777777" w:rsidR="00574EC8" w:rsidRDefault="00000000">
      <w:r>
        <w:t>Stores all spend and refund transactions.</w:t>
      </w:r>
      <w:r>
        <w:br/>
      </w:r>
      <w:r>
        <w:br/>
        <w:t>Fields:</w:t>
      </w:r>
      <w:r>
        <w:br/>
        <w:t>• transaction_id (PK)</w:t>
      </w:r>
      <w:r>
        <w:br/>
        <w:t>• account_id (FK)</w:t>
      </w:r>
      <w:r>
        <w:br/>
        <w:t>• statement_id (FK)</w:t>
      </w:r>
      <w:r>
        <w:br/>
        <w:t>• transaction_date</w:t>
      </w:r>
      <w:r>
        <w:br/>
        <w:t>• posted_date</w:t>
      </w:r>
      <w:r>
        <w:br/>
        <w:t>• description</w:t>
      </w:r>
      <w:r>
        <w:br/>
        <w:t>• amount</w:t>
      </w:r>
      <w:r>
        <w:br/>
        <w:t>• direction (DEBIT / CREDIT)</w:t>
      </w:r>
      <w:r>
        <w:br/>
        <w:t>• raw_card_member_name</w:t>
      </w:r>
      <w:r>
        <w:br/>
        <w:t>• attributed_user_id (nullable)</w:t>
      </w:r>
      <w:r>
        <w:br/>
        <w:t>• attribution_source (SOURCE / USER / INFERRED)</w:t>
      </w:r>
      <w:r>
        <w:br/>
        <w:t xml:space="preserve">• </w:t>
      </w:r>
      <w:proofErr w:type="spellStart"/>
      <w:r>
        <w:t>created_at</w:t>
      </w:r>
      <w:proofErr w:type="spellEnd"/>
    </w:p>
    <w:p w14:paraId="4123CE49" w14:textId="77777777" w:rsidR="00023B04" w:rsidRDefault="00023B04"/>
    <w:p w14:paraId="37B6468D" w14:textId="78D5912E" w:rsidR="00574EC8" w:rsidRDefault="00000000" w:rsidP="0027001E">
      <w:pPr>
        <w:pStyle w:val="Heading2"/>
      </w:pPr>
      <w:r>
        <w:t>Payments</w:t>
      </w:r>
    </w:p>
    <w:p w14:paraId="66BD6D8E" w14:textId="77777777" w:rsidR="00574EC8" w:rsidRDefault="00000000">
      <w:r>
        <w:t>Payments are stored separately from transactions to allow explicit attribution.</w:t>
      </w:r>
      <w:r>
        <w:br/>
      </w:r>
      <w:r>
        <w:br/>
        <w:t>Fields:</w:t>
      </w:r>
      <w:r>
        <w:br/>
        <w:t>• payment_id (PK)</w:t>
      </w:r>
      <w:r>
        <w:br/>
        <w:t>• account_id (FK)</w:t>
      </w:r>
      <w:r>
        <w:br/>
        <w:t>• statement_id (FK)</w:t>
      </w:r>
      <w:r>
        <w:br/>
        <w:t>• payment_date</w:t>
      </w:r>
      <w:r>
        <w:br/>
        <w:t>• amount</w:t>
      </w:r>
      <w:r>
        <w:br/>
        <w:t>• raw_description</w:t>
      </w:r>
      <w:r>
        <w:br/>
        <w:t>• attributed_user_id</w:t>
      </w:r>
      <w:r>
        <w:br/>
        <w:t>• attribution_status (AUTO / USER_CONFIRMED)</w:t>
      </w:r>
      <w:r>
        <w:br/>
        <w:t>• created_at</w:t>
      </w:r>
    </w:p>
    <w:p w14:paraId="0C20D4BA" w14:textId="7FD3EF94" w:rsidR="00574EC8" w:rsidRDefault="00000000" w:rsidP="0027001E">
      <w:pPr>
        <w:pStyle w:val="Heading2"/>
      </w:pPr>
      <w:r>
        <w:t>Payment Allocations</w:t>
      </w:r>
    </w:p>
    <w:p w14:paraId="628DABE0" w14:textId="77777777" w:rsidR="00574EC8" w:rsidRDefault="00000000">
      <w:r>
        <w:t>Defines how payments are allocated across transactions.</w:t>
      </w:r>
      <w:r>
        <w:br/>
      </w:r>
      <w:r>
        <w:br/>
        <w:t>Fields:</w:t>
      </w:r>
      <w:r>
        <w:br/>
        <w:t>• allocation_id (PK)</w:t>
      </w:r>
      <w:r>
        <w:br/>
        <w:t>• payment_id (FK)</w:t>
      </w:r>
      <w:r>
        <w:br/>
        <w:t>• transaction_id (FK)</w:t>
      </w:r>
      <w:r>
        <w:br/>
        <w:t>• allocated_amount</w:t>
      </w:r>
      <w:r>
        <w:br/>
        <w:t>• created_at</w:t>
      </w:r>
      <w:r>
        <w:br/>
      </w:r>
      <w:r>
        <w:br/>
        <w:t>This table enables bulk payments, partial repayments, and full auditability.</w:t>
      </w:r>
    </w:p>
    <w:p w14:paraId="0C8F0E5E" w14:textId="76ADE7DB" w:rsidR="00FF7C19" w:rsidRDefault="00FF7C19" w:rsidP="00FF7C19">
      <w:pPr>
        <w:pStyle w:val="Heading1"/>
      </w:pPr>
      <w:r>
        <w:lastRenderedPageBreak/>
        <w:t xml:space="preserve">Database Entity Relationship Diagram </w:t>
      </w:r>
    </w:p>
    <w:p w14:paraId="340409EA" w14:textId="77777777" w:rsidR="00FF7C19" w:rsidRPr="00FF7C19" w:rsidRDefault="00FF7C19" w:rsidP="00FF7C19"/>
    <w:p w14:paraId="025417DF" w14:textId="6483AB86" w:rsidR="00FF7C19" w:rsidRDefault="00FF7C19">
      <w:r>
        <w:rPr>
          <w:noProof/>
        </w:rPr>
        <w:drawing>
          <wp:inline distT="0" distB="0" distL="0" distR="0" wp14:anchorId="2A581E01" wp14:editId="1080243A">
            <wp:extent cx="5893153" cy="2266545"/>
            <wp:effectExtent l="0" t="0" r="0" b="0"/>
            <wp:docPr id="1272121150"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121150" name="Picture 2" descr="A diagram of a diagram&#10;&#10;AI-generated content may be incorrect."/>
                    <pic:cNvPicPr/>
                  </pic:nvPicPr>
                  <pic:blipFill>
                    <a:blip r:embed="rId6"/>
                    <a:stretch>
                      <a:fillRect/>
                    </a:stretch>
                  </pic:blipFill>
                  <pic:spPr>
                    <a:xfrm>
                      <a:off x="0" y="0"/>
                      <a:ext cx="5910515" cy="2273223"/>
                    </a:xfrm>
                    <a:prstGeom prst="rect">
                      <a:avLst/>
                    </a:prstGeom>
                  </pic:spPr>
                </pic:pic>
              </a:graphicData>
            </a:graphic>
          </wp:inline>
        </w:drawing>
      </w:r>
    </w:p>
    <w:p w14:paraId="70079513" w14:textId="26B9CA14" w:rsidR="00574EC8" w:rsidRDefault="00000000" w:rsidP="0027001E">
      <w:pPr>
        <w:pStyle w:val="Heading1"/>
      </w:pPr>
      <w:r>
        <w:t>Statement Ingestion &amp; Refresh Logging</w:t>
      </w:r>
    </w:p>
    <w:p w14:paraId="6DEEFEE6" w14:textId="3712F31C" w:rsidR="00574EC8" w:rsidRDefault="00000000">
      <w:r>
        <w:t>Statement ingestion is treated as an event, not an update.</w:t>
      </w:r>
      <w:r>
        <w:br/>
      </w:r>
      <w:r>
        <w:br/>
        <w:t>Ingestion tracking fields include:</w:t>
      </w:r>
      <w:r>
        <w:br/>
        <w:t>• ingestion_id</w:t>
      </w:r>
      <w:r>
        <w:br/>
        <w:t>• account_id</w:t>
      </w:r>
      <w:r>
        <w:br/>
        <w:t>• statement_id</w:t>
      </w:r>
      <w:r>
        <w:br/>
        <w:t>• source_type</w:t>
      </w:r>
      <w:r>
        <w:br/>
        <w:t>• file_name</w:t>
      </w:r>
      <w:r>
        <w:br/>
        <w:t>• file_hash</w:t>
      </w:r>
      <w:r>
        <w:br/>
        <w:t>• status (SUCCESS / PARTIAL / FAILED)</w:t>
      </w:r>
      <w:r>
        <w:br/>
        <w:t>• row_count</w:t>
      </w:r>
      <w:r>
        <w:br/>
        <w:t>• created_at</w:t>
      </w:r>
      <w:r>
        <w:br/>
      </w:r>
      <w:r>
        <w:br/>
        <w:t>This enables detection of missing periods, duplicate uploads, and data confidence scoring.</w:t>
      </w:r>
    </w:p>
    <w:p w14:paraId="04B5A748" w14:textId="7807009F" w:rsidR="00574EC8" w:rsidRDefault="00000000" w:rsidP="0027001E">
      <w:pPr>
        <w:pStyle w:val="Heading1"/>
      </w:pPr>
      <w:r>
        <w:t>Data Refresh Strategy</w:t>
      </w:r>
    </w:p>
    <w:p w14:paraId="438FFFA8" w14:textId="4583A143" w:rsidR="00023B04" w:rsidRDefault="00000000">
      <w:r>
        <w:t>Data refresh is user-driven:</w:t>
      </w:r>
      <w:r>
        <w:br/>
      </w:r>
      <w:r>
        <w:br/>
        <w:t>• Users upload CSV or PDF statements periodically</w:t>
      </w:r>
      <w:r>
        <w:br/>
        <w:t>• Each upload creates a new immutable statement</w:t>
      </w:r>
      <w:r>
        <w:br/>
        <w:t>• Transactions and payments are appended</w:t>
      </w:r>
      <w:r>
        <w:br/>
        <w:t>• KPIs are recalculated dynamically</w:t>
      </w:r>
      <w:r>
        <w:br/>
      </w:r>
      <w:r>
        <w:br/>
        <w:t>Open Banking may be added later for convenience but is not relied upon for attribution</w:t>
      </w:r>
    </w:p>
    <w:p w14:paraId="36D66BFD" w14:textId="2E6BCEAB" w:rsidR="008127F5" w:rsidRPr="008127F5" w:rsidRDefault="008127F5" w:rsidP="0027001E">
      <w:pPr>
        <w:pStyle w:val="Heading1"/>
      </w:pPr>
      <w:r w:rsidRPr="008127F5">
        <w:lastRenderedPageBreak/>
        <w:drawing>
          <wp:anchor distT="0" distB="0" distL="114300" distR="114300" simplePos="0" relativeHeight="251658240" behindDoc="1" locked="0" layoutInCell="1" allowOverlap="1" wp14:anchorId="69CBEF28" wp14:editId="1BA07B8E">
            <wp:simplePos x="0" y="0"/>
            <wp:positionH relativeFrom="column">
              <wp:posOffset>3837305</wp:posOffset>
            </wp:positionH>
            <wp:positionV relativeFrom="paragraph">
              <wp:posOffset>-29210</wp:posOffset>
            </wp:positionV>
            <wp:extent cx="2392680" cy="7217410"/>
            <wp:effectExtent l="0" t="0" r="0" b="0"/>
            <wp:wrapTight wrapText="bothSides">
              <wp:wrapPolygon edited="0">
                <wp:start x="0" y="0"/>
                <wp:lineTo x="0" y="21551"/>
                <wp:lineTo x="21439" y="21551"/>
                <wp:lineTo x="21439" y="0"/>
                <wp:lineTo x="0" y="0"/>
              </wp:wrapPolygon>
            </wp:wrapTight>
            <wp:docPr id="1728891764"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891764" name="Picture 1" descr="A diagram of a process&#10;&#10;AI-generated content may be incorrect."/>
                    <pic:cNvPicPr/>
                  </pic:nvPicPr>
                  <pic:blipFill rotWithShape="1">
                    <a:blip r:embed="rId7"/>
                    <a:srcRect l="6885" t="1" r="3962" b="1063"/>
                    <a:stretch>
                      <a:fillRect/>
                    </a:stretch>
                  </pic:blipFill>
                  <pic:spPr bwMode="auto">
                    <a:xfrm>
                      <a:off x="0" y="0"/>
                      <a:ext cx="2392680" cy="72174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8127F5">
        <w:t>End-to-End Data Processing Flow</w:t>
      </w:r>
    </w:p>
    <w:p w14:paraId="50CE3EFA" w14:textId="46105865" w:rsidR="008127F5" w:rsidRPr="008127F5" w:rsidRDefault="008127F5" w:rsidP="008127F5">
      <w:pPr>
        <w:pStyle w:val="NormalWeb"/>
        <w:rPr>
          <w:rFonts w:ascii="Calibri" w:hAnsi="Calibri" w:cs="Calibri"/>
          <w:color w:val="000000"/>
          <w:sz w:val="22"/>
          <w:szCs w:val="22"/>
        </w:rPr>
      </w:pPr>
      <w:r w:rsidRPr="008127F5">
        <w:rPr>
          <w:rFonts w:ascii="Calibri" w:hAnsi="Calibri" w:cs="Calibri"/>
          <w:color w:val="000000"/>
          <w:sz w:val="22"/>
          <w:szCs w:val="22"/>
        </w:rPr>
        <w:t>The diagram illustrates the complete lifecycle of how customer credit card data is ingested, processed, and transformed into accurate balances and KPIs within the application. Each stage is deliberately separated to ensure accuracy, auditability, and flexibility when handling shared credit card usage.</w:t>
      </w:r>
    </w:p>
    <w:p w14:paraId="112857FB" w14:textId="1FD42CBD" w:rsidR="008127F5" w:rsidRPr="0027001E" w:rsidRDefault="008127F5" w:rsidP="0027001E">
      <w:pPr>
        <w:pStyle w:val="Heading2"/>
        <w:numPr>
          <w:ilvl w:val="1"/>
          <w:numId w:val="18"/>
        </w:numPr>
        <w:rPr>
          <w:b w:val="0"/>
          <w:bCs w:val="0"/>
        </w:rPr>
      </w:pPr>
      <w:r w:rsidRPr="0027001E">
        <w:rPr>
          <w:b w:val="0"/>
          <w:bCs w:val="0"/>
        </w:rPr>
        <w:t>CSV Upload</w:t>
      </w:r>
    </w:p>
    <w:p w14:paraId="53C40270" w14:textId="77777777" w:rsidR="008127F5" w:rsidRPr="008127F5" w:rsidRDefault="008127F5" w:rsidP="008127F5">
      <w:pPr>
        <w:pStyle w:val="NormalWeb"/>
        <w:rPr>
          <w:rFonts w:ascii="Calibri" w:hAnsi="Calibri" w:cs="Calibri"/>
          <w:color w:val="000000"/>
          <w:sz w:val="22"/>
          <w:szCs w:val="22"/>
        </w:rPr>
      </w:pPr>
      <w:r w:rsidRPr="008127F5">
        <w:rPr>
          <w:rFonts w:ascii="Calibri" w:hAnsi="Calibri" w:cs="Calibri"/>
          <w:color w:val="000000"/>
          <w:sz w:val="22"/>
          <w:szCs w:val="22"/>
        </w:rPr>
        <w:t>The process begins when the user downloads a transaction activity CSV directly from their card provider (for example, American Express) and uploads it to the application.</w:t>
      </w:r>
    </w:p>
    <w:p w14:paraId="219E5CC1" w14:textId="77777777" w:rsidR="008127F5" w:rsidRPr="008127F5" w:rsidRDefault="008127F5" w:rsidP="008127F5">
      <w:pPr>
        <w:pStyle w:val="NormalWeb"/>
        <w:rPr>
          <w:rFonts w:ascii="Calibri" w:hAnsi="Calibri" w:cs="Calibri"/>
          <w:color w:val="000000"/>
          <w:sz w:val="22"/>
          <w:szCs w:val="22"/>
        </w:rPr>
      </w:pPr>
      <w:r w:rsidRPr="008127F5">
        <w:rPr>
          <w:rFonts w:ascii="Calibri" w:hAnsi="Calibri" w:cs="Calibri"/>
          <w:color w:val="000000"/>
          <w:sz w:val="22"/>
          <w:szCs w:val="22"/>
        </w:rPr>
        <w:t>This approach ensures:</w:t>
      </w:r>
    </w:p>
    <w:p w14:paraId="53591853" w14:textId="77777777" w:rsidR="008127F5" w:rsidRPr="008127F5" w:rsidRDefault="008127F5" w:rsidP="008127F5">
      <w:pPr>
        <w:pStyle w:val="NormalWeb"/>
        <w:numPr>
          <w:ilvl w:val="0"/>
          <w:numId w:val="10"/>
        </w:numPr>
        <w:rPr>
          <w:rFonts w:ascii="Calibri" w:hAnsi="Calibri" w:cs="Calibri"/>
          <w:color w:val="000000"/>
          <w:sz w:val="22"/>
          <w:szCs w:val="22"/>
        </w:rPr>
      </w:pPr>
      <w:r w:rsidRPr="008127F5">
        <w:rPr>
          <w:rFonts w:ascii="Calibri" w:hAnsi="Calibri" w:cs="Calibri"/>
          <w:color w:val="000000"/>
          <w:sz w:val="22"/>
          <w:szCs w:val="22"/>
        </w:rPr>
        <w:t>The user remains in control of their banking credentials</w:t>
      </w:r>
    </w:p>
    <w:p w14:paraId="1C071B8B" w14:textId="77777777" w:rsidR="008127F5" w:rsidRPr="008127F5" w:rsidRDefault="008127F5" w:rsidP="008127F5">
      <w:pPr>
        <w:pStyle w:val="NormalWeb"/>
        <w:numPr>
          <w:ilvl w:val="0"/>
          <w:numId w:val="10"/>
        </w:numPr>
        <w:rPr>
          <w:rFonts w:ascii="Calibri" w:hAnsi="Calibri" w:cs="Calibri"/>
          <w:color w:val="000000"/>
          <w:sz w:val="22"/>
          <w:szCs w:val="22"/>
        </w:rPr>
      </w:pPr>
      <w:r w:rsidRPr="008127F5">
        <w:rPr>
          <w:rFonts w:ascii="Calibri" w:hAnsi="Calibri" w:cs="Calibri"/>
          <w:color w:val="000000"/>
          <w:sz w:val="22"/>
          <w:szCs w:val="22"/>
        </w:rPr>
        <w:t>The data originates directly from the provider</w:t>
      </w:r>
    </w:p>
    <w:p w14:paraId="57B872D8" w14:textId="77777777" w:rsidR="008127F5" w:rsidRPr="008127F5" w:rsidRDefault="008127F5" w:rsidP="008127F5">
      <w:pPr>
        <w:pStyle w:val="NormalWeb"/>
        <w:numPr>
          <w:ilvl w:val="0"/>
          <w:numId w:val="10"/>
        </w:numPr>
        <w:rPr>
          <w:rFonts w:ascii="Calibri" w:hAnsi="Calibri" w:cs="Calibri"/>
          <w:color w:val="000000"/>
          <w:sz w:val="22"/>
          <w:szCs w:val="22"/>
        </w:rPr>
      </w:pPr>
      <w:r w:rsidRPr="008127F5">
        <w:rPr>
          <w:rFonts w:ascii="Calibri" w:hAnsi="Calibri" w:cs="Calibri"/>
          <w:color w:val="000000"/>
          <w:sz w:val="22"/>
          <w:szCs w:val="22"/>
        </w:rPr>
        <w:t>Supplementary cardholder information (when available) is preserved</w:t>
      </w:r>
    </w:p>
    <w:p w14:paraId="05C698A5" w14:textId="31ED16F7" w:rsidR="008127F5" w:rsidRPr="008127F5" w:rsidRDefault="008127F5" w:rsidP="008127F5">
      <w:pPr>
        <w:pStyle w:val="NormalWeb"/>
        <w:rPr>
          <w:rFonts w:ascii="Calibri" w:hAnsi="Calibri" w:cs="Calibri"/>
          <w:color w:val="000000"/>
          <w:sz w:val="22"/>
          <w:szCs w:val="22"/>
        </w:rPr>
      </w:pPr>
      <w:r w:rsidRPr="008127F5">
        <w:rPr>
          <w:rFonts w:ascii="Calibri" w:hAnsi="Calibri" w:cs="Calibri"/>
          <w:color w:val="000000"/>
          <w:sz w:val="22"/>
          <w:szCs w:val="22"/>
        </w:rPr>
        <w:t>The CSV upload represents an explicit user-initiated refresh of account data.</w:t>
      </w:r>
    </w:p>
    <w:p w14:paraId="36D901E5" w14:textId="1D257840" w:rsidR="008127F5" w:rsidRPr="008127F5" w:rsidRDefault="008127F5" w:rsidP="008127F5">
      <w:pPr>
        <w:pStyle w:val="Heading2"/>
        <w:rPr>
          <w:b w:val="0"/>
          <w:bCs w:val="0"/>
        </w:rPr>
      </w:pPr>
      <w:r w:rsidRPr="008127F5">
        <w:rPr>
          <w:b w:val="0"/>
          <w:bCs w:val="0"/>
        </w:rPr>
        <w:t>Raw File Stored (Immutable Store)</w:t>
      </w:r>
    </w:p>
    <w:p w14:paraId="3E2A7440" w14:textId="77777777" w:rsidR="008127F5" w:rsidRPr="008127F5" w:rsidRDefault="008127F5" w:rsidP="008127F5">
      <w:pPr>
        <w:pStyle w:val="NormalWeb"/>
        <w:rPr>
          <w:rFonts w:ascii="Calibri" w:hAnsi="Calibri" w:cs="Calibri"/>
          <w:color w:val="000000"/>
          <w:sz w:val="22"/>
          <w:szCs w:val="22"/>
        </w:rPr>
      </w:pPr>
      <w:r w:rsidRPr="008127F5">
        <w:rPr>
          <w:rFonts w:ascii="Calibri" w:hAnsi="Calibri" w:cs="Calibri"/>
          <w:color w:val="000000"/>
          <w:sz w:val="22"/>
          <w:szCs w:val="22"/>
        </w:rPr>
        <w:t>Once uploaded, the raw CSV file is stored in an immutable file store. A unique file hash is generated to identify duplicates and prevent accidental reprocessing of the same data.</w:t>
      </w:r>
    </w:p>
    <w:p w14:paraId="7DBA8EB7" w14:textId="77777777" w:rsidR="008127F5" w:rsidRPr="008127F5" w:rsidRDefault="008127F5" w:rsidP="008127F5">
      <w:pPr>
        <w:pStyle w:val="NormalWeb"/>
        <w:rPr>
          <w:rFonts w:ascii="Calibri" w:hAnsi="Calibri" w:cs="Calibri"/>
          <w:color w:val="000000"/>
          <w:sz w:val="22"/>
          <w:szCs w:val="22"/>
        </w:rPr>
      </w:pPr>
      <w:r w:rsidRPr="008127F5">
        <w:rPr>
          <w:rFonts w:ascii="Calibri" w:hAnsi="Calibri" w:cs="Calibri"/>
          <w:color w:val="000000"/>
          <w:sz w:val="22"/>
          <w:szCs w:val="22"/>
        </w:rPr>
        <w:t>Key characteristics of this step:</w:t>
      </w:r>
    </w:p>
    <w:p w14:paraId="79021004" w14:textId="77777777" w:rsidR="008127F5" w:rsidRPr="008127F5" w:rsidRDefault="008127F5" w:rsidP="008127F5">
      <w:pPr>
        <w:pStyle w:val="NormalWeb"/>
        <w:numPr>
          <w:ilvl w:val="0"/>
          <w:numId w:val="11"/>
        </w:numPr>
        <w:rPr>
          <w:rFonts w:ascii="Calibri" w:hAnsi="Calibri" w:cs="Calibri"/>
          <w:color w:val="000000"/>
          <w:sz w:val="22"/>
          <w:szCs w:val="22"/>
        </w:rPr>
      </w:pPr>
      <w:r w:rsidRPr="008127F5">
        <w:rPr>
          <w:rFonts w:ascii="Calibri" w:hAnsi="Calibri" w:cs="Calibri"/>
          <w:color w:val="000000"/>
          <w:sz w:val="22"/>
          <w:szCs w:val="22"/>
        </w:rPr>
        <w:t>The original source file is never modified or overwritten</w:t>
      </w:r>
    </w:p>
    <w:p w14:paraId="5F2D6E4D" w14:textId="77777777" w:rsidR="008127F5" w:rsidRPr="008127F5" w:rsidRDefault="008127F5" w:rsidP="008127F5">
      <w:pPr>
        <w:pStyle w:val="NormalWeb"/>
        <w:numPr>
          <w:ilvl w:val="0"/>
          <w:numId w:val="11"/>
        </w:numPr>
        <w:rPr>
          <w:rFonts w:ascii="Calibri" w:hAnsi="Calibri" w:cs="Calibri"/>
          <w:color w:val="000000"/>
          <w:sz w:val="22"/>
          <w:szCs w:val="22"/>
        </w:rPr>
      </w:pPr>
      <w:r w:rsidRPr="008127F5">
        <w:rPr>
          <w:rFonts w:ascii="Calibri" w:hAnsi="Calibri" w:cs="Calibri"/>
          <w:color w:val="000000"/>
          <w:sz w:val="22"/>
          <w:szCs w:val="22"/>
        </w:rPr>
        <w:t>The file can be reprocessed if parsing logic changes</w:t>
      </w:r>
    </w:p>
    <w:p w14:paraId="6CED5BC2" w14:textId="77777777" w:rsidR="008127F5" w:rsidRPr="008127F5" w:rsidRDefault="008127F5" w:rsidP="008127F5">
      <w:pPr>
        <w:pStyle w:val="NormalWeb"/>
        <w:numPr>
          <w:ilvl w:val="0"/>
          <w:numId w:val="11"/>
        </w:numPr>
        <w:rPr>
          <w:rFonts w:ascii="Calibri" w:hAnsi="Calibri" w:cs="Calibri"/>
          <w:color w:val="000000"/>
          <w:sz w:val="22"/>
          <w:szCs w:val="22"/>
        </w:rPr>
      </w:pPr>
      <w:r w:rsidRPr="008127F5">
        <w:rPr>
          <w:rFonts w:ascii="Calibri" w:hAnsi="Calibri" w:cs="Calibri"/>
          <w:color w:val="000000"/>
          <w:sz w:val="22"/>
          <w:szCs w:val="22"/>
        </w:rPr>
        <w:t>A permanent audit trail is maintained for compliance and debugging</w:t>
      </w:r>
    </w:p>
    <w:p w14:paraId="5CD56258" w14:textId="006A4A65" w:rsidR="008127F5" w:rsidRPr="008127F5" w:rsidRDefault="008127F5" w:rsidP="008127F5">
      <w:pPr>
        <w:pStyle w:val="NormalWeb"/>
        <w:rPr>
          <w:rFonts w:ascii="Calibri" w:hAnsi="Calibri" w:cs="Calibri"/>
          <w:color w:val="000000"/>
          <w:sz w:val="22"/>
          <w:szCs w:val="22"/>
        </w:rPr>
      </w:pPr>
      <w:r w:rsidRPr="008127F5">
        <w:rPr>
          <w:rFonts w:ascii="Calibri" w:hAnsi="Calibri" w:cs="Calibri"/>
          <w:color w:val="000000"/>
          <w:sz w:val="22"/>
          <w:szCs w:val="22"/>
        </w:rPr>
        <w:t>This layer represents the system’s</w:t>
      </w:r>
      <w:r w:rsidRPr="008127F5">
        <w:rPr>
          <w:rStyle w:val="apple-converted-space"/>
          <w:rFonts w:ascii="Calibri" w:hAnsi="Calibri" w:cs="Calibri"/>
          <w:color w:val="000000"/>
          <w:sz w:val="22"/>
          <w:szCs w:val="22"/>
        </w:rPr>
        <w:t> </w:t>
      </w:r>
      <w:r w:rsidRPr="008127F5">
        <w:rPr>
          <w:rStyle w:val="Strong"/>
          <w:rFonts w:ascii="Calibri" w:eastAsiaTheme="majorEastAsia" w:hAnsi="Calibri" w:cs="Calibri"/>
          <w:color w:val="000000"/>
          <w:sz w:val="22"/>
          <w:szCs w:val="22"/>
        </w:rPr>
        <w:t>source-of-truth artifact</w:t>
      </w:r>
      <w:r w:rsidRPr="008127F5">
        <w:rPr>
          <w:rFonts w:ascii="Calibri" w:hAnsi="Calibri" w:cs="Calibri"/>
          <w:color w:val="000000"/>
          <w:sz w:val="22"/>
          <w:szCs w:val="22"/>
        </w:rPr>
        <w:t>.</w:t>
      </w:r>
    </w:p>
    <w:p w14:paraId="70021B64" w14:textId="77777777" w:rsidR="008127F5" w:rsidRDefault="008127F5" w:rsidP="0027001E">
      <w:pPr>
        <w:pStyle w:val="Heading3"/>
        <w:numPr>
          <w:ilvl w:val="0"/>
          <w:numId w:val="0"/>
        </w:numPr>
        <w:ind w:left="720" w:hanging="720"/>
        <w:rPr>
          <w:rStyle w:val="Heading2Char"/>
        </w:rPr>
      </w:pPr>
    </w:p>
    <w:p w14:paraId="17B1AB1E" w14:textId="77777777" w:rsidR="008127F5" w:rsidRPr="008127F5" w:rsidRDefault="008127F5" w:rsidP="008127F5"/>
    <w:p w14:paraId="012AA1F0" w14:textId="224945A9" w:rsidR="008127F5" w:rsidRPr="0027001E" w:rsidRDefault="008127F5" w:rsidP="0027001E">
      <w:pPr>
        <w:pStyle w:val="Heading2"/>
        <w:rPr>
          <w:b w:val="0"/>
          <w:bCs w:val="0"/>
        </w:rPr>
      </w:pPr>
      <w:r w:rsidRPr="0027001E">
        <w:rPr>
          <w:b w:val="0"/>
          <w:bCs w:val="0"/>
        </w:rPr>
        <w:lastRenderedPageBreak/>
        <w:t>Statement Created (Period Snapshot)</w:t>
      </w:r>
    </w:p>
    <w:p w14:paraId="5B93311A" w14:textId="77777777" w:rsidR="008127F5" w:rsidRPr="008127F5" w:rsidRDefault="008127F5" w:rsidP="008127F5">
      <w:pPr>
        <w:pStyle w:val="NormalWeb"/>
        <w:rPr>
          <w:rFonts w:ascii="Calibri" w:hAnsi="Calibri" w:cs="Calibri"/>
          <w:color w:val="000000"/>
          <w:sz w:val="22"/>
          <w:szCs w:val="22"/>
        </w:rPr>
      </w:pPr>
      <w:r w:rsidRPr="008127F5">
        <w:rPr>
          <w:rFonts w:ascii="Calibri" w:hAnsi="Calibri" w:cs="Calibri"/>
          <w:color w:val="000000"/>
          <w:sz w:val="22"/>
          <w:szCs w:val="22"/>
        </w:rPr>
        <w:t>From the uploaded file, the system creates a</w:t>
      </w:r>
      <w:r w:rsidRPr="008127F5">
        <w:rPr>
          <w:rStyle w:val="apple-converted-space"/>
          <w:rFonts w:ascii="Calibri" w:hAnsi="Calibri" w:cs="Calibri"/>
          <w:color w:val="000000"/>
          <w:sz w:val="22"/>
          <w:szCs w:val="22"/>
        </w:rPr>
        <w:t> </w:t>
      </w:r>
      <w:r w:rsidRPr="008127F5">
        <w:rPr>
          <w:rStyle w:val="Emphasis"/>
          <w:rFonts w:ascii="Calibri" w:eastAsiaTheme="majorEastAsia" w:hAnsi="Calibri" w:cs="Calibri"/>
          <w:color w:val="000000"/>
          <w:sz w:val="22"/>
          <w:szCs w:val="22"/>
        </w:rPr>
        <w:t>statement</w:t>
      </w:r>
      <w:r w:rsidRPr="008127F5">
        <w:rPr>
          <w:rStyle w:val="apple-converted-space"/>
          <w:rFonts w:ascii="Calibri" w:hAnsi="Calibri" w:cs="Calibri"/>
          <w:color w:val="000000"/>
          <w:sz w:val="22"/>
          <w:szCs w:val="22"/>
        </w:rPr>
        <w:t> </w:t>
      </w:r>
      <w:r w:rsidRPr="008127F5">
        <w:rPr>
          <w:rFonts w:ascii="Calibri" w:hAnsi="Calibri" w:cs="Calibri"/>
          <w:color w:val="000000"/>
          <w:sz w:val="22"/>
          <w:szCs w:val="22"/>
        </w:rPr>
        <w:t>record. A statement represents a snapshot of account activity over a defined date range (e.g. a billing period or activity window).</w:t>
      </w:r>
    </w:p>
    <w:p w14:paraId="38CFA623" w14:textId="77777777" w:rsidR="008127F5" w:rsidRPr="008127F5" w:rsidRDefault="008127F5" w:rsidP="008127F5">
      <w:pPr>
        <w:pStyle w:val="NormalWeb"/>
        <w:rPr>
          <w:rFonts w:ascii="Calibri" w:hAnsi="Calibri" w:cs="Calibri"/>
          <w:color w:val="000000"/>
          <w:sz w:val="22"/>
          <w:szCs w:val="22"/>
        </w:rPr>
      </w:pPr>
      <w:r w:rsidRPr="008127F5">
        <w:rPr>
          <w:rFonts w:ascii="Calibri" w:hAnsi="Calibri" w:cs="Calibri"/>
          <w:color w:val="000000"/>
          <w:sz w:val="22"/>
          <w:szCs w:val="22"/>
        </w:rPr>
        <w:t>Statements are:</w:t>
      </w:r>
    </w:p>
    <w:p w14:paraId="11255D0B" w14:textId="77777777" w:rsidR="008127F5" w:rsidRPr="008127F5" w:rsidRDefault="008127F5" w:rsidP="008127F5">
      <w:pPr>
        <w:pStyle w:val="NormalWeb"/>
        <w:numPr>
          <w:ilvl w:val="0"/>
          <w:numId w:val="12"/>
        </w:numPr>
        <w:rPr>
          <w:rFonts w:ascii="Calibri" w:hAnsi="Calibri" w:cs="Calibri"/>
          <w:color w:val="000000"/>
          <w:sz w:val="22"/>
          <w:szCs w:val="22"/>
        </w:rPr>
      </w:pPr>
      <w:r w:rsidRPr="008127F5">
        <w:rPr>
          <w:rFonts w:ascii="Calibri" w:hAnsi="Calibri" w:cs="Calibri"/>
          <w:color w:val="000000"/>
          <w:sz w:val="22"/>
          <w:szCs w:val="22"/>
        </w:rPr>
        <w:t>Append-only</w:t>
      </w:r>
    </w:p>
    <w:p w14:paraId="616F17AE" w14:textId="77777777" w:rsidR="008127F5" w:rsidRPr="008127F5" w:rsidRDefault="008127F5" w:rsidP="008127F5">
      <w:pPr>
        <w:pStyle w:val="NormalWeb"/>
        <w:numPr>
          <w:ilvl w:val="0"/>
          <w:numId w:val="12"/>
        </w:numPr>
        <w:rPr>
          <w:rFonts w:ascii="Calibri" w:hAnsi="Calibri" w:cs="Calibri"/>
          <w:color w:val="000000"/>
          <w:sz w:val="22"/>
          <w:szCs w:val="22"/>
        </w:rPr>
      </w:pPr>
      <w:r w:rsidRPr="008127F5">
        <w:rPr>
          <w:rFonts w:ascii="Calibri" w:hAnsi="Calibri" w:cs="Calibri"/>
          <w:color w:val="000000"/>
          <w:sz w:val="22"/>
          <w:szCs w:val="22"/>
        </w:rPr>
        <w:t>Immutable once created</w:t>
      </w:r>
    </w:p>
    <w:p w14:paraId="7DEC6040" w14:textId="77777777" w:rsidR="008127F5" w:rsidRPr="008127F5" w:rsidRDefault="008127F5" w:rsidP="008127F5">
      <w:pPr>
        <w:pStyle w:val="NormalWeb"/>
        <w:numPr>
          <w:ilvl w:val="0"/>
          <w:numId w:val="12"/>
        </w:numPr>
        <w:rPr>
          <w:rFonts w:ascii="Calibri" w:hAnsi="Calibri" w:cs="Calibri"/>
          <w:color w:val="000000"/>
          <w:sz w:val="22"/>
          <w:szCs w:val="22"/>
        </w:rPr>
      </w:pPr>
      <w:r w:rsidRPr="008127F5">
        <w:rPr>
          <w:rFonts w:ascii="Calibri" w:hAnsi="Calibri" w:cs="Calibri"/>
          <w:color w:val="000000"/>
          <w:sz w:val="22"/>
          <w:szCs w:val="22"/>
        </w:rPr>
        <w:t>Used to group transactions and payments logically</w:t>
      </w:r>
    </w:p>
    <w:p w14:paraId="4B1552D7" w14:textId="563EB5F9" w:rsidR="008127F5" w:rsidRPr="0027001E" w:rsidRDefault="008127F5" w:rsidP="0027001E">
      <w:pPr>
        <w:pStyle w:val="NormalWeb"/>
        <w:rPr>
          <w:rFonts w:ascii="Calibri" w:hAnsi="Calibri" w:cs="Calibri"/>
          <w:color w:val="000000"/>
          <w:sz w:val="22"/>
          <w:szCs w:val="22"/>
        </w:rPr>
      </w:pPr>
      <w:r w:rsidRPr="008127F5">
        <w:rPr>
          <w:rFonts w:ascii="Calibri" w:hAnsi="Calibri" w:cs="Calibri"/>
          <w:color w:val="000000"/>
          <w:sz w:val="22"/>
          <w:szCs w:val="22"/>
        </w:rPr>
        <w:t>This abstraction allows the system to reason in terms of time-bound snapshots rather than an ever-changing transaction feed.</w:t>
      </w:r>
    </w:p>
    <w:p w14:paraId="0C17DD4C" w14:textId="3208200D" w:rsidR="008127F5" w:rsidRPr="0027001E" w:rsidRDefault="008127F5" w:rsidP="0027001E">
      <w:pPr>
        <w:pStyle w:val="Heading2"/>
        <w:rPr>
          <w:b w:val="0"/>
          <w:bCs w:val="0"/>
        </w:rPr>
      </w:pPr>
      <w:r w:rsidRPr="0027001E">
        <w:rPr>
          <w:b w:val="0"/>
          <w:bCs w:val="0"/>
        </w:rPr>
        <w:t>Transactions &amp; Payments Inserted (No Interpretation Applied)</w:t>
      </w:r>
    </w:p>
    <w:p w14:paraId="0A916243" w14:textId="77777777" w:rsidR="008127F5" w:rsidRPr="008127F5" w:rsidRDefault="008127F5" w:rsidP="008127F5">
      <w:pPr>
        <w:pStyle w:val="NormalWeb"/>
        <w:rPr>
          <w:rFonts w:ascii="Calibri" w:hAnsi="Calibri" w:cs="Calibri"/>
          <w:color w:val="000000"/>
          <w:sz w:val="22"/>
          <w:szCs w:val="22"/>
        </w:rPr>
      </w:pPr>
      <w:r w:rsidRPr="008127F5">
        <w:rPr>
          <w:rFonts w:ascii="Calibri" w:hAnsi="Calibri" w:cs="Calibri"/>
          <w:color w:val="000000"/>
          <w:sz w:val="22"/>
          <w:szCs w:val="22"/>
        </w:rPr>
        <w:t>All transactions and payments contained within the statement are parsed and inserted into the database exactly as provided by the card issuer.</w:t>
      </w:r>
    </w:p>
    <w:p w14:paraId="067359EB" w14:textId="77777777" w:rsidR="008127F5" w:rsidRPr="008127F5" w:rsidRDefault="008127F5" w:rsidP="008127F5">
      <w:pPr>
        <w:pStyle w:val="NormalWeb"/>
        <w:rPr>
          <w:rFonts w:ascii="Calibri" w:hAnsi="Calibri" w:cs="Calibri"/>
          <w:color w:val="000000"/>
          <w:sz w:val="22"/>
          <w:szCs w:val="22"/>
        </w:rPr>
      </w:pPr>
      <w:r w:rsidRPr="008127F5">
        <w:rPr>
          <w:rFonts w:ascii="Calibri" w:hAnsi="Calibri" w:cs="Calibri"/>
          <w:color w:val="000000"/>
          <w:sz w:val="22"/>
          <w:szCs w:val="22"/>
        </w:rPr>
        <w:t>At this stage:</w:t>
      </w:r>
    </w:p>
    <w:p w14:paraId="124D3AFB" w14:textId="77777777" w:rsidR="008127F5" w:rsidRPr="008127F5" w:rsidRDefault="008127F5" w:rsidP="008127F5">
      <w:pPr>
        <w:pStyle w:val="NormalWeb"/>
        <w:numPr>
          <w:ilvl w:val="0"/>
          <w:numId w:val="13"/>
        </w:numPr>
        <w:rPr>
          <w:rFonts w:ascii="Calibri" w:hAnsi="Calibri" w:cs="Calibri"/>
          <w:color w:val="000000"/>
          <w:sz w:val="22"/>
          <w:szCs w:val="22"/>
        </w:rPr>
      </w:pPr>
      <w:r w:rsidRPr="008127F5">
        <w:rPr>
          <w:rFonts w:ascii="Calibri" w:hAnsi="Calibri" w:cs="Calibri"/>
          <w:color w:val="000000"/>
          <w:sz w:val="22"/>
          <w:szCs w:val="22"/>
        </w:rPr>
        <w:t>No assumptions are made about who owes what</w:t>
      </w:r>
    </w:p>
    <w:p w14:paraId="37DC61E9" w14:textId="77777777" w:rsidR="008127F5" w:rsidRPr="008127F5" w:rsidRDefault="008127F5" w:rsidP="008127F5">
      <w:pPr>
        <w:pStyle w:val="NormalWeb"/>
        <w:numPr>
          <w:ilvl w:val="0"/>
          <w:numId w:val="13"/>
        </w:numPr>
        <w:rPr>
          <w:rFonts w:ascii="Calibri" w:hAnsi="Calibri" w:cs="Calibri"/>
          <w:color w:val="000000"/>
          <w:sz w:val="22"/>
          <w:szCs w:val="22"/>
        </w:rPr>
      </w:pPr>
      <w:r w:rsidRPr="008127F5">
        <w:rPr>
          <w:rFonts w:ascii="Calibri" w:hAnsi="Calibri" w:cs="Calibri"/>
          <w:color w:val="000000"/>
          <w:sz w:val="22"/>
          <w:szCs w:val="22"/>
        </w:rPr>
        <w:t>No payments are matched to transactions</w:t>
      </w:r>
    </w:p>
    <w:p w14:paraId="1CA5005D" w14:textId="77777777" w:rsidR="008127F5" w:rsidRPr="008127F5" w:rsidRDefault="008127F5" w:rsidP="008127F5">
      <w:pPr>
        <w:pStyle w:val="NormalWeb"/>
        <w:numPr>
          <w:ilvl w:val="0"/>
          <w:numId w:val="13"/>
        </w:numPr>
        <w:rPr>
          <w:rFonts w:ascii="Calibri" w:hAnsi="Calibri" w:cs="Calibri"/>
          <w:color w:val="000000"/>
          <w:sz w:val="22"/>
          <w:szCs w:val="22"/>
        </w:rPr>
      </w:pPr>
      <w:r w:rsidRPr="008127F5">
        <w:rPr>
          <w:rFonts w:ascii="Calibri" w:hAnsi="Calibri" w:cs="Calibri"/>
          <w:color w:val="000000"/>
          <w:sz w:val="22"/>
          <w:szCs w:val="22"/>
        </w:rPr>
        <w:t>All provider-supplied fields (including card member identifiers) are preserved as raw data</w:t>
      </w:r>
    </w:p>
    <w:p w14:paraId="36DF0EE0" w14:textId="3ED7F63C" w:rsidR="008127F5" w:rsidRPr="0027001E" w:rsidRDefault="008127F5" w:rsidP="0027001E">
      <w:pPr>
        <w:pStyle w:val="NormalWeb"/>
        <w:rPr>
          <w:rFonts w:ascii="Calibri" w:hAnsi="Calibri" w:cs="Calibri"/>
          <w:color w:val="000000"/>
          <w:sz w:val="22"/>
          <w:szCs w:val="22"/>
        </w:rPr>
      </w:pPr>
      <w:r w:rsidRPr="008127F5">
        <w:rPr>
          <w:rFonts w:ascii="Calibri" w:hAnsi="Calibri" w:cs="Calibri"/>
          <w:color w:val="000000"/>
          <w:sz w:val="22"/>
          <w:szCs w:val="22"/>
        </w:rPr>
        <w:t>This ensures that the system faithfully reflects</w:t>
      </w:r>
      <w:r w:rsidRPr="008127F5">
        <w:rPr>
          <w:rStyle w:val="apple-converted-space"/>
          <w:rFonts w:ascii="Calibri" w:hAnsi="Calibri" w:cs="Calibri"/>
          <w:color w:val="000000"/>
          <w:sz w:val="22"/>
          <w:szCs w:val="22"/>
        </w:rPr>
        <w:t> </w:t>
      </w:r>
      <w:r w:rsidRPr="008127F5">
        <w:rPr>
          <w:rStyle w:val="Strong"/>
          <w:rFonts w:ascii="Calibri" w:eastAsiaTheme="majorEastAsia" w:hAnsi="Calibri" w:cs="Calibri"/>
          <w:color w:val="000000"/>
          <w:sz w:val="22"/>
          <w:szCs w:val="22"/>
        </w:rPr>
        <w:t>bank-reported reality</w:t>
      </w:r>
      <w:r w:rsidRPr="008127F5">
        <w:rPr>
          <w:rFonts w:ascii="Calibri" w:hAnsi="Calibri" w:cs="Calibri"/>
          <w:color w:val="000000"/>
          <w:sz w:val="22"/>
          <w:szCs w:val="22"/>
        </w:rPr>
        <w:t>, without introducing premature interpretation.</w:t>
      </w:r>
    </w:p>
    <w:p w14:paraId="264A6FFC" w14:textId="27D2F090" w:rsidR="008127F5" w:rsidRPr="0027001E" w:rsidRDefault="008127F5" w:rsidP="0027001E">
      <w:pPr>
        <w:pStyle w:val="Heading2"/>
        <w:rPr>
          <w:b w:val="0"/>
          <w:bCs w:val="0"/>
        </w:rPr>
      </w:pPr>
      <w:r w:rsidRPr="0027001E">
        <w:rPr>
          <w:b w:val="0"/>
          <w:bCs w:val="0"/>
        </w:rPr>
        <w:t>Payment Allocations Written (Bulk / Partial / Auditable)</w:t>
      </w:r>
    </w:p>
    <w:p w14:paraId="10B6D5DD" w14:textId="77777777" w:rsidR="008127F5" w:rsidRPr="008127F5" w:rsidRDefault="008127F5" w:rsidP="008127F5">
      <w:pPr>
        <w:pStyle w:val="NormalWeb"/>
        <w:rPr>
          <w:rFonts w:ascii="Calibri" w:hAnsi="Calibri" w:cs="Calibri"/>
          <w:color w:val="000000"/>
          <w:sz w:val="22"/>
          <w:szCs w:val="22"/>
        </w:rPr>
      </w:pPr>
      <w:r w:rsidRPr="008127F5">
        <w:rPr>
          <w:rFonts w:ascii="Calibri" w:hAnsi="Calibri" w:cs="Calibri"/>
          <w:color w:val="000000"/>
          <w:sz w:val="22"/>
          <w:szCs w:val="22"/>
        </w:rPr>
        <w:t>Payments are inherently ambiguous in shared card setups. To resolve this, the application introduces an explicit</w:t>
      </w:r>
      <w:r w:rsidRPr="008127F5">
        <w:rPr>
          <w:rStyle w:val="apple-converted-space"/>
          <w:rFonts w:ascii="Calibri" w:hAnsi="Calibri" w:cs="Calibri"/>
          <w:color w:val="000000"/>
          <w:sz w:val="22"/>
          <w:szCs w:val="22"/>
        </w:rPr>
        <w:t> </w:t>
      </w:r>
      <w:r w:rsidRPr="008127F5">
        <w:rPr>
          <w:rStyle w:val="Strong"/>
          <w:rFonts w:ascii="Calibri" w:eastAsiaTheme="majorEastAsia" w:hAnsi="Calibri" w:cs="Calibri"/>
          <w:color w:val="000000"/>
          <w:sz w:val="22"/>
          <w:szCs w:val="22"/>
        </w:rPr>
        <w:t>payment allocation</w:t>
      </w:r>
      <w:r w:rsidRPr="008127F5">
        <w:rPr>
          <w:rStyle w:val="apple-converted-space"/>
          <w:rFonts w:ascii="Calibri" w:hAnsi="Calibri" w:cs="Calibri"/>
          <w:color w:val="000000"/>
          <w:sz w:val="22"/>
          <w:szCs w:val="22"/>
        </w:rPr>
        <w:t> </w:t>
      </w:r>
      <w:r w:rsidRPr="008127F5">
        <w:rPr>
          <w:rFonts w:ascii="Calibri" w:hAnsi="Calibri" w:cs="Calibri"/>
          <w:color w:val="000000"/>
          <w:sz w:val="22"/>
          <w:szCs w:val="22"/>
        </w:rPr>
        <w:t>step.</w:t>
      </w:r>
    </w:p>
    <w:p w14:paraId="5137456B" w14:textId="77777777" w:rsidR="008127F5" w:rsidRPr="008127F5" w:rsidRDefault="008127F5" w:rsidP="008127F5">
      <w:pPr>
        <w:pStyle w:val="NormalWeb"/>
        <w:rPr>
          <w:rFonts w:ascii="Calibri" w:hAnsi="Calibri" w:cs="Calibri"/>
          <w:color w:val="000000"/>
          <w:sz w:val="22"/>
          <w:szCs w:val="22"/>
        </w:rPr>
      </w:pPr>
      <w:r w:rsidRPr="008127F5">
        <w:rPr>
          <w:rFonts w:ascii="Calibri" w:hAnsi="Calibri" w:cs="Calibri"/>
          <w:color w:val="000000"/>
          <w:sz w:val="22"/>
          <w:szCs w:val="22"/>
        </w:rPr>
        <w:t>Users can:</w:t>
      </w:r>
    </w:p>
    <w:p w14:paraId="506EF44F" w14:textId="77777777" w:rsidR="008127F5" w:rsidRPr="008127F5" w:rsidRDefault="008127F5" w:rsidP="008127F5">
      <w:pPr>
        <w:pStyle w:val="NormalWeb"/>
        <w:numPr>
          <w:ilvl w:val="0"/>
          <w:numId w:val="14"/>
        </w:numPr>
        <w:rPr>
          <w:rFonts w:ascii="Calibri" w:hAnsi="Calibri" w:cs="Calibri"/>
          <w:color w:val="000000"/>
          <w:sz w:val="22"/>
          <w:szCs w:val="22"/>
        </w:rPr>
      </w:pPr>
      <w:r w:rsidRPr="008127F5">
        <w:rPr>
          <w:rFonts w:ascii="Calibri" w:hAnsi="Calibri" w:cs="Calibri"/>
          <w:color w:val="000000"/>
          <w:sz w:val="22"/>
          <w:szCs w:val="22"/>
        </w:rPr>
        <w:t>Confirm whether a payment was made by the primary cardholder or on behalf of a supplementary cardholder</w:t>
      </w:r>
    </w:p>
    <w:p w14:paraId="4B9F5DC1" w14:textId="77777777" w:rsidR="008127F5" w:rsidRPr="008127F5" w:rsidRDefault="008127F5" w:rsidP="008127F5">
      <w:pPr>
        <w:pStyle w:val="NormalWeb"/>
        <w:numPr>
          <w:ilvl w:val="0"/>
          <w:numId w:val="14"/>
        </w:numPr>
        <w:rPr>
          <w:rFonts w:ascii="Calibri" w:hAnsi="Calibri" w:cs="Calibri"/>
          <w:color w:val="000000"/>
          <w:sz w:val="22"/>
          <w:szCs w:val="22"/>
        </w:rPr>
      </w:pPr>
      <w:r w:rsidRPr="008127F5">
        <w:rPr>
          <w:rFonts w:ascii="Calibri" w:hAnsi="Calibri" w:cs="Calibri"/>
          <w:color w:val="000000"/>
          <w:sz w:val="22"/>
          <w:szCs w:val="22"/>
        </w:rPr>
        <w:t>Allocate a single payment across multiple transactions</w:t>
      </w:r>
    </w:p>
    <w:p w14:paraId="3BDC93E6" w14:textId="77777777" w:rsidR="008127F5" w:rsidRPr="008127F5" w:rsidRDefault="008127F5" w:rsidP="008127F5">
      <w:pPr>
        <w:pStyle w:val="NormalWeb"/>
        <w:numPr>
          <w:ilvl w:val="0"/>
          <w:numId w:val="14"/>
        </w:numPr>
        <w:rPr>
          <w:rFonts w:ascii="Calibri" w:hAnsi="Calibri" w:cs="Calibri"/>
          <w:color w:val="000000"/>
          <w:sz w:val="22"/>
          <w:szCs w:val="22"/>
        </w:rPr>
      </w:pPr>
      <w:r w:rsidRPr="008127F5">
        <w:rPr>
          <w:rFonts w:ascii="Calibri" w:hAnsi="Calibri" w:cs="Calibri"/>
          <w:color w:val="000000"/>
          <w:sz w:val="22"/>
          <w:szCs w:val="22"/>
        </w:rPr>
        <w:t>Partially allocate payments where appropriate</w:t>
      </w:r>
    </w:p>
    <w:p w14:paraId="1822AFC8" w14:textId="77777777" w:rsidR="008127F5" w:rsidRPr="008127F5" w:rsidRDefault="008127F5" w:rsidP="008127F5">
      <w:pPr>
        <w:pStyle w:val="NormalWeb"/>
        <w:rPr>
          <w:rFonts w:ascii="Calibri" w:hAnsi="Calibri" w:cs="Calibri"/>
          <w:color w:val="000000"/>
          <w:sz w:val="22"/>
          <w:szCs w:val="22"/>
        </w:rPr>
      </w:pPr>
      <w:r w:rsidRPr="008127F5">
        <w:rPr>
          <w:rFonts w:ascii="Calibri" w:hAnsi="Calibri" w:cs="Calibri"/>
          <w:color w:val="000000"/>
          <w:sz w:val="22"/>
          <w:szCs w:val="22"/>
        </w:rPr>
        <w:t>Each allocation is stored as its own database record, creating a clear, auditable link between payments and the transactions they settle. No original transaction or payment data is ever altered.</w:t>
      </w:r>
    </w:p>
    <w:p w14:paraId="6DF353BF" w14:textId="374ABF55" w:rsidR="008127F5" w:rsidRPr="0027001E" w:rsidRDefault="008127F5" w:rsidP="0027001E">
      <w:pPr>
        <w:pStyle w:val="NormalWeb"/>
        <w:rPr>
          <w:rFonts w:ascii="Calibri" w:hAnsi="Calibri" w:cs="Calibri"/>
          <w:color w:val="000000"/>
          <w:sz w:val="22"/>
          <w:szCs w:val="22"/>
        </w:rPr>
      </w:pPr>
      <w:r w:rsidRPr="008127F5">
        <w:rPr>
          <w:rFonts w:ascii="Calibri" w:hAnsi="Calibri" w:cs="Calibri"/>
          <w:color w:val="000000"/>
          <w:sz w:val="22"/>
          <w:szCs w:val="22"/>
        </w:rPr>
        <w:t>This step is where</w:t>
      </w:r>
      <w:r w:rsidRPr="008127F5">
        <w:rPr>
          <w:rStyle w:val="apple-converted-space"/>
          <w:rFonts w:ascii="Calibri" w:hAnsi="Calibri" w:cs="Calibri"/>
          <w:color w:val="000000"/>
          <w:sz w:val="22"/>
          <w:szCs w:val="22"/>
        </w:rPr>
        <w:t> </w:t>
      </w:r>
      <w:r w:rsidRPr="008127F5">
        <w:rPr>
          <w:rStyle w:val="Strong"/>
          <w:rFonts w:ascii="Calibri" w:eastAsiaTheme="majorEastAsia" w:hAnsi="Calibri" w:cs="Calibri"/>
          <w:color w:val="000000"/>
          <w:sz w:val="22"/>
          <w:szCs w:val="22"/>
        </w:rPr>
        <w:t>user-confirmed financial meaning</w:t>
      </w:r>
      <w:r w:rsidRPr="008127F5">
        <w:rPr>
          <w:rStyle w:val="apple-converted-space"/>
          <w:rFonts w:ascii="Calibri" w:hAnsi="Calibri" w:cs="Calibri"/>
          <w:color w:val="000000"/>
          <w:sz w:val="22"/>
          <w:szCs w:val="22"/>
        </w:rPr>
        <w:t> </w:t>
      </w:r>
      <w:r w:rsidRPr="008127F5">
        <w:rPr>
          <w:rFonts w:ascii="Calibri" w:hAnsi="Calibri" w:cs="Calibri"/>
          <w:color w:val="000000"/>
          <w:sz w:val="22"/>
          <w:szCs w:val="22"/>
        </w:rPr>
        <w:t>is applied</w:t>
      </w:r>
      <w:r w:rsidR="0027001E">
        <w:rPr>
          <w:rFonts w:ascii="Calibri" w:hAnsi="Calibri" w:cs="Calibri"/>
          <w:color w:val="000000"/>
          <w:sz w:val="22"/>
          <w:szCs w:val="22"/>
        </w:rPr>
        <w:t>.</w:t>
      </w:r>
    </w:p>
    <w:p w14:paraId="2AE0B642" w14:textId="77DD7D09" w:rsidR="008127F5" w:rsidRPr="0027001E" w:rsidRDefault="008127F5" w:rsidP="0027001E">
      <w:pPr>
        <w:pStyle w:val="Heading2"/>
        <w:rPr>
          <w:b w:val="0"/>
          <w:bCs w:val="0"/>
        </w:rPr>
      </w:pPr>
      <w:r w:rsidRPr="0027001E">
        <w:rPr>
          <w:b w:val="0"/>
          <w:bCs w:val="0"/>
        </w:rPr>
        <w:lastRenderedPageBreak/>
        <w:t>KPIs Derived from Database Views</w:t>
      </w:r>
    </w:p>
    <w:p w14:paraId="09BCBCCD" w14:textId="77777777" w:rsidR="008127F5" w:rsidRPr="008127F5" w:rsidRDefault="008127F5" w:rsidP="008127F5">
      <w:pPr>
        <w:pStyle w:val="NormalWeb"/>
        <w:rPr>
          <w:rFonts w:ascii="Calibri" w:hAnsi="Calibri" w:cs="Calibri"/>
          <w:color w:val="000000"/>
          <w:sz w:val="22"/>
          <w:szCs w:val="22"/>
        </w:rPr>
      </w:pPr>
      <w:r w:rsidRPr="008127F5">
        <w:rPr>
          <w:rFonts w:ascii="Calibri" w:hAnsi="Calibri" w:cs="Calibri"/>
          <w:color w:val="000000"/>
          <w:sz w:val="22"/>
          <w:szCs w:val="22"/>
        </w:rPr>
        <w:t>Key metrics such as:</w:t>
      </w:r>
    </w:p>
    <w:p w14:paraId="28A3A824" w14:textId="77777777" w:rsidR="008127F5" w:rsidRPr="008127F5" w:rsidRDefault="008127F5" w:rsidP="008127F5">
      <w:pPr>
        <w:pStyle w:val="NormalWeb"/>
        <w:numPr>
          <w:ilvl w:val="0"/>
          <w:numId w:val="15"/>
        </w:numPr>
        <w:rPr>
          <w:rFonts w:ascii="Calibri" w:hAnsi="Calibri" w:cs="Calibri"/>
          <w:color w:val="000000"/>
          <w:sz w:val="22"/>
          <w:szCs w:val="22"/>
        </w:rPr>
      </w:pPr>
      <w:r w:rsidRPr="008127F5">
        <w:rPr>
          <w:rFonts w:ascii="Calibri" w:hAnsi="Calibri" w:cs="Calibri"/>
          <w:color w:val="000000"/>
          <w:sz w:val="22"/>
          <w:szCs w:val="22"/>
        </w:rPr>
        <w:t>Total supplementary spend</w:t>
      </w:r>
    </w:p>
    <w:p w14:paraId="2976323D" w14:textId="77777777" w:rsidR="008127F5" w:rsidRPr="008127F5" w:rsidRDefault="008127F5" w:rsidP="008127F5">
      <w:pPr>
        <w:pStyle w:val="NormalWeb"/>
        <w:numPr>
          <w:ilvl w:val="0"/>
          <w:numId w:val="15"/>
        </w:numPr>
        <w:rPr>
          <w:rFonts w:ascii="Calibri" w:hAnsi="Calibri" w:cs="Calibri"/>
          <w:color w:val="000000"/>
          <w:sz w:val="22"/>
          <w:szCs w:val="22"/>
        </w:rPr>
      </w:pPr>
      <w:r w:rsidRPr="008127F5">
        <w:rPr>
          <w:rFonts w:ascii="Calibri" w:hAnsi="Calibri" w:cs="Calibri"/>
          <w:color w:val="000000"/>
          <w:sz w:val="22"/>
          <w:szCs w:val="22"/>
        </w:rPr>
        <w:t>Total repayments</w:t>
      </w:r>
    </w:p>
    <w:p w14:paraId="36721ABD" w14:textId="77777777" w:rsidR="008127F5" w:rsidRPr="008127F5" w:rsidRDefault="008127F5" w:rsidP="008127F5">
      <w:pPr>
        <w:pStyle w:val="NormalWeb"/>
        <w:numPr>
          <w:ilvl w:val="0"/>
          <w:numId w:val="15"/>
        </w:numPr>
        <w:rPr>
          <w:rFonts w:ascii="Calibri" w:hAnsi="Calibri" w:cs="Calibri"/>
          <w:color w:val="000000"/>
          <w:sz w:val="22"/>
          <w:szCs w:val="22"/>
        </w:rPr>
      </w:pPr>
      <w:r w:rsidRPr="008127F5">
        <w:rPr>
          <w:rFonts w:ascii="Calibri" w:hAnsi="Calibri" w:cs="Calibri"/>
          <w:color w:val="000000"/>
          <w:sz w:val="22"/>
          <w:szCs w:val="22"/>
        </w:rPr>
        <w:t>Outstanding balances</w:t>
      </w:r>
    </w:p>
    <w:p w14:paraId="52789090" w14:textId="77777777" w:rsidR="008127F5" w:rsidRPr="008127F5" w:rsidRDefault="008127F5" w:rsidP="008127F5">
      <w:pPr>
        <w:pStyle w:val="NormalWeb"/>
        <w:rPr>
          <w:rFonts w:ascii="Calibri" w:hAnsi="Calibri" w:cs="Calibri"/>
          <w:color w:val="000000"/>
          <w:sz w:val="22"/>
          <w:szCs w:val="22"/>
        </w:rPr>
      </w:pPr>
      <w:r w:rsidRPr="008127F5">
        <w:rPr>
          <w:rFonts w:ascii="Calibri" w:hAnsi="Calibri" w:cs="Calibri"/>
          <w:color w:val="000000"/>
          <w:sz w:val="22"/>
          <w:szCs w:val="22"/>
        </w:rPr>
        <w:t>are not stored directly in the database. Instead, they are derived dynamically using database views that combine transactions, payments, and allocations.</w:t>
      </w:r>
    </w:p>
    <w:p w14:paraId="764EBE39" w14:textId="77777777" w:rsidR="008127F5" w:rsidRPr="008127F5" w:rsidRDefault="008127F5" w:rsidP="008127F5">
      <w:pPr>
        <w:pStyle w:val="NormalWeb"/>
        <w:rPr>
          <w:rFonts w:ascii="Calibri" w:hAnsi="Calibri" w:cs="Calibri"/>
          <w:color w:val="000000"/>
          <w:sz w:val="22"/>
          <w:szCs w:val="22"/>
        </w:rPr>
      </w:pPr>
      <w:r w:rsidRPr="008127F5">
        <w:rPr>
          <w:rFonts w:ascii="Calibri" w:hAnsi="Calibri" w:cs="Calibri"/>
          <w:color w:val="000000"/>
          <w:sz w:val="22"/>
          <w:szCs w:val="22"/>
        </w:rPr>
        <w:t>This ensures:</w:t>
      </w:r>
    </w:p>
    <w:p w14:paraId="45E48FB6" w14:textId="77777777" w:rsidR="008127F5" w:rsidRPr="008127F5" w:rsidRDefault="008127F5" w:rsidP="008127F5">
      <w:pPr>
        <w:pStyle w:val="NormalWeb"/>
        <w:numPr>
          <w:ilvl w:val="0"/>
          <w:numId w:val="16"/>
        </w:numPr>
        <w:rPr>
          <w:rFonts w:ascii="Calibri" w:hAnsi="Calibri" w:cs="Calibri"/>
          <w:color w:val="000000"/>
          <w:sz w:val="22"/>
          <w:szCs w:val="22"/>
        </w:rPr>
      </w:pPr>
      <w:r w:rsidRPr="008127F5">
        <w:rPr>
          <w:rFonts w:ascii="Calibri" w:hAnsi="Calibri" w:cs="Calibri"/>
          <w:color w:val="000000"/>
          <w:sz w:val="22"/>
          <w:szCs w:val="22"/>
        </w:rPr>
        <w:t>KPIs always reflect the latest confirmed data</w:t>
      </w:r>
    </w:p>
    <w:p w14:paraId="6C6A0E75" w14:textId="77777777" w:rsidR="008127F5" w:rsidRPr="008127F5" w:rsidRDefault="008127F5" w:rsidP="008127F5">
      <w:pPr>
        <w:pStyle w:val="NormalWeb"/>
        <w:numPr>
          <w:ilvl w:val="0"/>
          <w:numId w:val="16"/>
        </w:numPr>
        <w:rPr>
          <w:rFonts w:ascii="Calibri" w:hAnsi="Calibri" w:cs="Calibri"/>
          <w:color w:val="000000"/>
          <w:sz w:val="22"/>
          <w:szCs w:val="22"/>
        </w:rPr>
      </w:pPr>
      <w:r w:rsidRPr="008127F5">
        <w:rPr>
          <w:rFonts w:ascii="Calibri" w:hAnsi="Calibri" w:cs="Calibri"/>
          <w:color w:val="000000"/>
          <w:sz w:val="22"/>
          <w:szCs w:val="22"/>
        </w:rPr>
        <w:t>Corrections automatically flow through the system</w:t>
      </w:r>
    </w:p>
    <w:p w14:paraId="6D66F308" w14:textId="2577D180" w:rsidR="00023B04" w:rsidRPr="0027001E" w:rsidRDefault="008127F5" w:rsidP="0027001E">
      <w:pPr>
        <w:pStyle w:val="NormalWeb"/>
        <w:numPr>
          <w:ilvl w:val="0"/>
          <w:numId w:val="16"/>
        </w:numPr>
        <w:rPr>
          <w:rFonts w:ascii="Calibri" w:hAnsi="Calibri" w:cs="Calibri"/>
          <w:color w:val="000000"/>
          <w:sz w:val="22"/>
          <w:szCs w:val="22"/>
        </w:rPr>
      </w:pPr>
      <w:r w:rsidRPr="008127F5">
        <w:rPr>
          <w:rFonts w:ascii="Calibri" w:hAnsi="Calibri" w:cs="Calibri"/>
          <w:color w:val="000000"/>
          <w:sz w:val="22"/>
          <w:szCs w:val="22"/>
        </w:rPr>
        <w:t>No risk of stale or inconsistent balances</w:t>
      </w:r>
    </w:p>
    <w:p w14:paraId="58DB8CDD" w14:textId="1C9C9085" w:rsidR="00574EC8" w:rsidRPr="0027001E" w:rsidRDefault="00000000" w:rsidP="0027001E">
      <w:pPr>
        <w:pStyle w:val="Heading1"/>
      </w:pPr>
      <w:r w:rsidRPr="0027001E">
        <w:t>KPI &amp; Balance Computation</w:t>
      </w:r>
    </w:p>
    <w:p w14:paraId="3B0339E5" w14:textId="32D39CF2" w:rsidR="00023B04" w:rsidRDefault="00000000">
      <w:r>
        <w:t>No KPIs or balances are stored directly. All values are derived using database views.</w:t>
      </w:r>
      <w:r>
        <w:br/>
      </w:r>
      <w:r>
        <w:br/>
        <w:t>Example:</w:t>
      </w:r>
      <w:r>
        <w:br/>
        <w:t>Outstanding balance (supplementary) = Total supplementary spend − Allocated supplementary payments</w:t>
      </w:r>
    </w:p>
    <w:p w14:paraId="201D3596" w14:textId="528A0E88" w:rsidR="00574EC8" w:rsidRPr="0027001E" w:rsidRDefault="00000000" w:rsidP="0027001E">
      <w:pPr>
        <w:pStyle w:val="Heading1"/>
      </w:pPr>
      <w:r w:rsidRPr="0027001E">
        <w:t>Recommended Database Technology (MVP)</w:t>
      </w:r>
    </w:p>
    <w:p w14:paraId="1B9D890C" w14:textId="77777777" w:rsidR="00574EC8" w:rsidRDefault="00000000">
      <w:r>
        <w:t>PostgreSQL is the recommended primary database for the MVP.</w:t>
      </w:r>
      <w:r>
        <w:br/>
      </w:r>
      <w:r>
        <w:br/>
        <w:t>Justification:</w:t>
      </w:r>
      <w:r>
        <w:br/>
        <w:t>• Strong ACID guarantees for financial data</w:t>
      </w:r>
      <w:r>
        <w:br/>
        <w:t>• Native support for relational integrity and constraints</w:t>
      </w:r>
      <w:r>
        <w:br/>
        <w:t>• Excellent support for transactional workflows</w:t>
      </w:r>
      <w:r>
        <w:br/>
        <w:t>• Compatible with all backend frameworks</w:t>
      </w:r>
      <w:r>
        <w:br/>
        <w:t>• Ideal for analytics and future ML workloads</w:t>
      </w:r>
      <w:r>
        <w:br/>
      </w:r>
      <w:r>
        <w:br/>
        <w:t>PostgreSQL should be accessed via a backend API layer. Mobile apps (iOS/Android) should never connect directly to the database.</w:t>
      </w:r>
      <w:r>
        <w:br/>
      </w:r>
      <w:r>
        <w:br/>
        <w:t>SQLite may optionally be used on-device as a temporary cache or staging layer, but never as the system of record.</w:t>
      </w:r>
    </w:p>
    <w:p w14:paraId="059F44C4" w14:textId="0E22D226" w:rsidR="00574EC8" w:rsidRDefault="00000000" w:rsidP="0027001E">
      <w:pPr>
        <w:pStyle w:val="Heading1"/>
      </w:pPr>
      <w:r>
        <w:lastRenderedPageBreak/>
        <w:t>Conclusion</w:t>
      </w:r>
    </w:p>
    <w:p w14:paraId="4A1DB78B" w14:textId="77777777" w:rsidR="00574EC8" w:rsidRDefault="00000000">
      <w:r>
        <w:t>This database architecture supports the core goals of the application: fairness, clarity, and trust. By separating immutable source data from user interpretation and allocation, the system remains robust, explainable, and extensible as new data sources and intelligence layers are added.</w:t>
      </w:r>
    </w:p>
    <w:sectPr w:rsidR="00574EC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EE3F31"/>
    <w:multiLevelType w:val="multilevel"/>
    <w:tmpl w:val="D5C0D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9D6128"/>
    <w:multiLevelType w:val="multilevel"/>
    <w:tmpl w:val="F3164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C65B56"/>
    <w:multiLevelType w:val="multilevel"/>
    <w:tmpl w:val="95FC7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D40EAA"/>
    <w:multiLevelType w:val="multilevel"/>
    <w:tmpl w:val="7924F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51641B"/>
    <w:multiLevelType w:val="multilevel"/>
    <w:tmpl w:val="6832E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070D69"/>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53F23157"/>
    <w:multiLevelType w:val="multilevel"/>
    <w:tmpl w:val="3BC0B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0769A3"/>
    <w:multiLevelType w:val="multilevel"/>
    <w:tmpl w:val="A38A6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8295113">
    <w:abstractNumId w:val="8"/>
  </w:num>
  <w:num w:numId="2" w16cid:durableId="910700736">
    <w:abstractNumId w:val="6"/>
  </w:num>
  <w:num w:numId="3" w16cid:durableId="1835875536">
    <w:abstractNumId w:val="5"/>
  </w:num>
  <w:num w:numId="4" w16cid:durableId="1006900850">
    <w:abstractNumId w:val="4"/>
  </w:num>
  <w:num w:numId="5" w16cid:durableId="1742096533">
    <w:abstractNumId w:val="7"/>
  </w:num>
  <w:num w:numId="6" w16cid:durableId="1365207488">
    <w:abstractNumId w:val="3"/>
  </w:num>
  <w:num w:numId="7" w16cid:durableId="1756903445">
    <w:abstractNumId w:val="2"/>
  </w:num>
  <w:num w:numId="8" w16cid:durableId="728193911">
    <w:abstractNumId w:val="1"/>
  </w:num>
  <w:num w:numId="9" w16cid:durableId="2105490453">
    <w:abstractNumId w:val="0"/>
  </w:num>
  <w:num w:numId="10" w16cid:durableId="1613853835">
    <w:abstractNumId w:val="11"/>
  </w:num>
  <w:num w:numId="11" w16cid:durableId="497118727">
    <w:abstractNumId w:val="15"/>
  </w:num>
  <w:num w:numId="12" w16cid:durableId="1210730998">
    <w:abstractNumId w:val="16"/>
  </w:num>
  <w:num w:numId="13" w16cid:durableId="1078551037">
    <w:abstractNumId w:val="12"/>
  </w:num>
  <w:num w:numId="14" w16cid:durableId="2039694400">
    <w:abstractNumId w:val="9"/>
  </w:num>
  <w:num w:numId="15" w16cid:durableId="1865824580">
    <w:abstractNumId w:val="10"/>
  </w:num>
  <w:num w:numId="16" w16cid:durableId="895092324">
    <w:abstractNumId w:val="13"/>
  </w:num>
  <w:num w:numId="17" w16cid:durableId="2065710122">
    <w:abstractNumId w:val="14"/>
  </w:num>
  <w:num w:numId="18" w16cid:durableId="1566138189">
    <w:abstractNumId w:val="14"/>
    <w:lvlOverride w:ilvl="0">
      <w:startOverride w:val="7"/>
    </w:lvlOverride>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B04"/>
    <w:rsid w:val="00034616"/>
    <w:rsid w:val="0006063C"/>
    <w:rsid w:val="0015074B"/>
    <w:rsid w:val="0027001E"/>
    <w:rsid w:val="0029639D"/>
    <w:rsid w:val="00326F90"/>
    <w:rsid w:val="00555A3F"/>
    <w:rsid w:val="00574EC8"/>
    <w:rsid w:val="008127F5"/>
    <w:rsid w:val="00AA1D8D"/>
    <w:rsid w:val="00B47730"/>
    <w:rsid w:val="00CB0664"/>
    <w:rsid w:val="00FC693F"/>
    <w:rsid w:val="00FF7C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6C7416"/>
  <w14:defaultImageDpi w14:val="300"/>
  <w15:docId w15:val="{1B981D51-9C1E-0342-99C4-27BF237D1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numPr>
        <w:numId w:val="17"/>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numPr>
        <w:ilvl w:val="1"/>
        <w:numId w:val="17"/>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numPr>
        <w:ilvl w:val="2"/>
        <w:numId w:val="17"/>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numPr>
        <w:ilvl w:val="3"/>
        <w:numId w:val="17"/>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numPr>
        <w:ilvl w:val="4"/>
        <w:numId w:val="17"/>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numPr>
        <w:ilvl w:val="5"/>
        <w:numId w:val="17"/>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numPr>
        <w:ilvl w:val="6"/>
        <w:numId w:val="17"/>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numPr>
        <w:ilvl w:val="7"/>
        <w:numId w:val="17"/>
      </w:numPr>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numPr>
        <w:ilvl w:val="8"/>
        <w:numId w:val="17"/>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8127F5"/>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apple-converted-space">
    <w:name w:val="apple-converted-space"/>
    <w:basedOn w:val="DefaultParagraphFont"/>
    <w:rsid w:val="008127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8</Pages>
  <Words>1181</Words>
  <Characters>6735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Alex Sharples</cp:lastModifiedBy>
  <cp:revision>2</cp:revision>
  <dcterms:created xsi:type="dcterms:W3CDTF">2013-12-23T23:15:00Z</dcterms:created>
  <dcterms:modified xsi:type="dcterms:W3CDTF">2026-01-17T00:32:00Z</dcterms:modified>
  <cp:category/>
</cp:coreProperties>
</file>