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6866" w14:textId="365AE9AB" w:rsidR="00AF5F87" w:rsidRDefault="00000000" w:rsidP="007D6BF0">
      <w:pPr>
        <w:pStyle w:val="Title"/>
      </w:pPr>
      <w:r>
        <w:t xml:space="preserve">Shared Credit Card Reconciliation App </w:t>
      </w:r>
      <w:r w:rsidRPr="007D6BF0">
        <w:rPr>
          <w:rStyle w:val="SubtitleChar"/>
        </w:rPr>
        <w:t>Technical Architecture &amp; Data Strategy</w:t>
      </w:r>
    </w:p>
    <w:p w14:paraId="26DA0100" w14:textId="6E8C04DE" w:rsidR="00AF5F87" w:rsidRPr="007D6BF0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Market Research &amp; Problem Definition</w:t>
      </w:r>
    </w:p>
    <w:p w14:paraId="125D00E0" w14:textId="77777777" w:rsidR="007D6BF0" w:rsidRDefault="00000000" w:rsidP="007D6BF0">
      <w:pPr>
        <w:rPr>
          <w:b/>
          <w:bCs/>
        </w:rPr>
      </w:pPr>
      <w:r>
        <w:t>Most UK credit cards that support additional or supplementary cardholders operate under a single legal credit agreement. The primary cardholder is fully responsible for repayments, while supplementary cardholders can spend but cannot manage or settle the account. This creates a real-world problem for couples, families, and shared finances: tracking who owes what after spend and repayments is non-trivial.</w:t>
      </w:r>
      <w:r>
        <w:br/>
      </w:r>
      <w:r>
        <w:br/>
        <w:t>Existing solutions (budgeting apps, expense splitters, Open Banking aggregators) do not solve this problem end-to-end. They either lack supplementary card attribution, cannot reconcile bulk payments, or assume symmetric payment ability. There is currently no UK-focused application that reconciles supplementary credit card spend against repayments in a transparent, auditable, and fair way.</w:t>
      </w:r>
      <w:r>
        <w:br/>
      </w:r>
      <w:r>
        <w:br/>
      </w:r>
      <w:r w:rsidRPr="007D6BF0">
        <w:rPr>
          <w:b/>
          <w:bCs/>
        </w:rPr>
        <w:t>This represents a clear gap in the market.</w:t>
      </w:r>
    </w:p>
    <w:p w14:paraId="60FADF4F" w14:textId="3559346C" w:rsidR="00244155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Data Acquisition Strategies</w:t>
      </w:r>
    </w:p>
    <w:p w14:paraId="7BA125E3" w14:textId="4D701C4F" w:rsidR="00AF5F87" w:rsidRPr="00244155" w:rsidRDefault="00000000" w:rsidP="00244155">
      <w:pPr>
        <w:pStyle w:val="Heading2"/>
        <w:numPr>
          <w:ilvl w:val="1"/>
          <w:numId w:val="19"/>
        </w:numPr>
        <w:rPr>
          <w:color w:val="548DD4" w:themeColor="text2" w:themeTint="99"/>
        </w:rPr>
      </w:pPr>
      <w:r w:rsidRPr="00244155">
        <w:rPr>
          <w:color w:val="548DD4" w:themeColor="text2" w:themeTint="99"/>
        </w:rPr>
        <w:t>Open Banking APIs</w:t>
      </w:r>
    </w:p>
    <w:p w14:paraId="70376482" w14:textId="77777777" w:rsidR="00AF5F87" w:rsidRDefault="00000000">
      <w:r>
        <w:t>Open Banking (via providers such as TrueLayer, Tink, Yapily) allows transaction-level access to credit card accounts. However, the UK Open Banking standard does not mandate or consistently support a supplementary cardholder identifier. Transactions are returned at an account level only.</w:t>
      </w:r>
      <w:r>
        <w:br/>
      </w:r>
      <w:r>
        <w:br/>
      </w:r>
      <w:r w:rsidRPr="00A92BFF">
        <w:rPr>
          <w:b/>
          <w:bCs/>
        </w:rPr>
        <w:t>Key limitation:</w:t>
      </w:r>
      <w:r>
        <w:t xml:space="preserve"> supplementary card attribution is not reliably available, particularly for Amex.</w:t>
      </w:r>
    </w:p>
    <w:p w14:paraId="1817B090" w14:textId="0C940DFC" w:rsidR="00AF5F87" w:rsidRPr="00244155" w:rsidRDefault="00000000" w:rsidP="00244155">
      <w:pPr>
        <w:pStyle w:val="Heading2"/>
        <w:numPr>
          <w:ilvl w:val="1"/>
          <w:numId w:val="19"/>
        </w:numPr>
        <w:rPr>
          <w:color w:val="548DD4" w:themeColor="text2" w:themeTint="99"/>
        </w:rPr>
      </w:pPr>
      <w:r w:rsidRPr="00244155">
        <w:rPr>
          <w:color w:val="548DD4" w:themeColor="text2" w:themeTint="99"/>
        </w:rPr>
        <w:t>Proprietary / Issuer APIs</w:t>
      </w:r>
    </w:p>
    <w:p w14:paraId="5FDD35FD" w14:textId="77777777" w:rsidR="00AF5F87" w:rsidRDefault="00000000">
      <w:r>
        <w:t>Some issuers (e.g. American Express) expose proprietary APIs that internally understand supplementary card usage. However, access is restricted, non-standardised, and not guaranteed for third-party consumer applications.</w:t>
      </w:r>
      <w:r>
        <w:br/>
      </w:r>
      <w:r>
        <w:br/>
        <w:t>Conclusion: not viable as a primary ingestion strategy.</w:t>
      </w:r>
    </w:p>
    <w:p w14:paraId="2C45E33B" w14:textId="77777777" w:rsidR="007D6BF0" w:rsidRDefault="007D6BF0"/>
    <w:p w14:paraId="446D1529" w14:textId="2CFD2778" w:rsidR="00AF5F87" w:rsidRPr="007D6BF0" w:rsidRDefault="00000000" w:rsidP="00244155">
      <w:pPr>
        <w:pStyle w:val="Heading2"/>
        <w:numPr>
          <w:ilvl w:val="1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lastRenderedPageBreak/>
        <w:t>PDF Statements (Mobile)</w:t>
      </w:r>
    </w:p>
    <w:p w14:paraId="29F740D0" w14:textId="22A5F5FA" w:rsidR="007D6BF0" w:rsidRDefault="00000000" w:rsidP="007D6BF0">
      <w:r>
        <w:t>On mobile (iPhone), users are typically only able to export monthly PDF statements. These are authoritative but limited to a single statement period.</w:t>
      </w:r>
      <w:r>
        <w:br/>
      </w:r>
    </w:p>
    <w:p w14:paraId="4143C321" w14:textId="36ADF1D6" w:rsidR="007D6BF0" w:rsidRDefault="00000000" w:rsidP="007D6BF0">
      <w:r>
        <w:t>Advantages:</w:t>
      </w:r>
    </w:p>
    <w:p w14:paraId="0A59EB8B" w14:textId="77777777" w:rsidR="007D6BF0" w:rsidRDefault="00000000" w:rsidP="007D6BF0">
      <w:pPr>
        <w:pStyle w:val="ListParagraph"/>
        <w:numPr>
          <w:ilvl w:val="0"/>
          <w:numId w:val="11"/>
        </w:numPr>
      </w:pPr>
      <w:r>
        <w:t>Often include supplementary cardholder names</w:t>
      </w:r>
    </w:p>
    <w:p w14:paraId="1EABAB07" w14:textId="77777777" w:rsidR="007D6BF0" w:rsidRDefault="00000000" w:rsidP="007D6BF0">
      <w:pPr>
        <w:pStyle w:val="ListParagraph"/>
        <w:numPr>
          <w:ilvl w:val="0"/>
          <w:numId w:val="11"/>
        </w:numPr>
      </w:pPr>
      <w:r>
        <w:t>High trust and accuracy</w:t>
      </w:r>
    </w:p>
    <w:p w14:paraId="318F920C" w14:textId="71A694E9" w:rsidR="007D6BF0" w:rsidRDefault="00000000" w:rsidP="007D6BF0">
      <w:r>
        <w:t>Disadvantages:</w:t>
      </w:r>
    </w:p>
    <w:p w14:paraId="753853D4" w14:textId="77777777" w:rsidR="007D6BF0" w:rsidRDefault="00000000" w:rsidP="007D6BF0">
      <w:pPr>
        <w:pStyle w:val="ListParagraph"/>
        <w:numPr>
          <w:ilvl w:val="0"/>
          <w:numId w:val="11"/>
        </w:numPr>
      </w:pPr>
      <w:r>
        <w:t>Monthly granularity only</w:t>
      </w:r>
    </w:p>
    <w:p w14:paraId="27D18F1A" w14:textId="47286F08" w:rsidR="00AF5F87" w:rsidRDefault="00000000" w:rsidP="007D6BF0">
      <w:pPr>
        <w:pStyle w:val="ListParagraph"/>
        <w:numPr>
          <w:ilvl w:val="0"/>
          <w:numId w:val="11"/>
        </w:numPr>
      </w:pPr>
      <w:r>
        <w:t>Complex parsing</w:t>
      </w:r>
      <w:r>
        <w:br/>
      </w:r>
    </w:p>
    <w:p w14:paraId="2D6B9DAE" w14:textId="06A9EF5A" w:rsidR="00AF5F87" w:rsidRPr="007D6BF0" w:rsidRDefault="00000000" w:rsidP="00244155">
      <w:pPr>
        <w:pStyle w:val="Heading2"/>
        <w:numPr>
          <w:ilvl w:val="1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CSV Activity Exports (</w:t>
      </w:r>
      <w:r w:rsidR="007D6BF0" w:rsidRPr="007D6BF0">
        <w:rPr>
          <w:color w:val="548DD4" w:themeColor="text2" w:themeTint="99"/>
        </w:rPr>
        <w:t>Web Browser</w:t>
      </w:r>
      <w:r w:rsidRPr="007D6BF0">
        <w:rPr>
          <w:color w:val="548DD4" w:themeColor="text2" w:themeTint="99"/>
        </w:rPr>
        <w:t>)</w:t>
      </w:r>
    </w:p>
    <w:p w14:paraId="72F5BE74" w14:textId="77777777" w:rsidR="007D6BF0" w:rsidRDefault="00000000" w:rsidP="007D6BF0">
      <w:r>
        <w:t>On desktop, issuers such as Amex allow users to export full transaction activity as CSV. These files frequently include a 'Card Member' field that identifies the supplementary cardholder.</w:t>
      </w:r>
      <w:r>
        <w:br/>
      </w:r>
      <w:r>
        <w:br/>
        <w:t>This approach provides the highest-quality data with the lowest regulatory and technical risk.</w:t>
      </w:r>
    </w:p>
    <w:p w14:paraId="7DD6AD41" w14:textId="5C2E3009" w:rsidR="00AF5F87" w:rsidRPr="00244155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244155">
        <w:rPr>
          <w:color w:val="548DD4" w:themeColor="text2" w:themeTint="99"/>
        </w:rPr>
        <w:t>Pros &amp; Cons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5F87" w14:paraId="06BFE2D2" w14:textId="77777777" w:rsidTr="007D6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19744" w14:textId="77777777" w:rsidR="00AF5F87" w:rsidRDefault="00000000">
            <w:r>
              <w:t>Method</w:t>
            </w:r>
          </w:p>
        </w:tc>
        <w:tc>
          <w:tcPr>
            <w:tcW w:w="2160" w:type="dxa"/>
          </w:tcPr>
          <w:p w14:paraId="30D4E0E6" w14:textId="77777777" w:rsidR="00AF5F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Pros</w:t>
            </w:r>
          </w:p>
        </w:tc>
        <w:tc>
          <w:tcPr>
            <w:tcW w:w="2160" w:type="dxa"/>
          </w:tcPr>
          <w:p w14:paraId="71C49F2F" w14:textId="77777777" w:rsidR="00AF5F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</w:t>
            </w:r>
          </w:p>
        </w:tc>
        <w:tc>
          <w:tcPr>
            <w:tcW w:w="2160" w:type="dxa"/>
          </w:tcPr>
          <w:p w14:paraId="1F1BC0CB" w14:textId="77777777" w:rsidR="00AF5F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</w:t>
            </w:r>
          </w:p>
        </w:tc>
      </w:tr>
      <w:tr w:rsidR="00AF5F87" w14:paraId="49D60448" w14:textId="77777777" w:rsidTr="007D6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D592D" w14:textId="77777777" w:rsidR="00AF5F87" w:rsidRPr="007D6BF0" w:rsidRDefault="00000000">
            <w:pPr>
              <w:rPr>
                <w:b w:val="0"/>
                <w:bCs w:val="0"/>
              </w:rPr>
            </w:pPr>
            <w:r w:rsidRPr="007D6BF0">
              <w:rPr>
                <w:b w:val="0"/>
                <w:bCs w:val="0"/>
              </w:rPr>
              <w:t>Open Banking</w:t>
            </w:r>
          </w:p>
        </w:tc>
        <w:tc>
          <w:tcPr>
            <w:tcW w:w="2160" w:type="dxa"/>
          </w:tcPr>
          <w:p w14:paraId="2002C062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Automated, ongoing refresh</w:t>
            </w:r>
          </w:p>
        </w:tc>
        <w:tc>
          <w:tcPr>
            <w:tcW w:w="2160" w:type="dxa"/>
          </w:tcPr>
          <w:p w14:paraId="249B2973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supplementary ID, inconsistent</w:t>
            </w:r>
          </w:p>
        </w:tc>
        <w:tc>
          <w:tcPr>
            <w:tcW w:w="2160" w:type="dxa"/>
          </w:tcPr>
          <w:p w14:paraId="6F91DCF1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AF5F87" w14:paraId="71F6331E" w14:textId="77777777" w:rsidTr="007D6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6F2C60" w14:textId="77777777" w:rsidR="00AF5F87" w:rsidRPr="007D6BF0" w:rsidRDefault="00000000">
            <w:pPr>
              <w:rPr>
                <w:b w:val="0"/>
                <w:bCs w:val="0"/>
              </w:rPr>
            </w:pPr>
            <w:r w:rsidRPr="007D6BF0">
              <w:rPr>
                <w:b w:val="0"/>
                <w:bCs w:val="0"/>
              </w:rPr>
              <w:t>Issuer API</w:t>
            </w:r>
          </w:p>
        </w:tc>
        <w:tc>
          <w:tcPr>
            <w:tcW w:w="2160" w:type="dxa"/>
          </w:tcPr>
          <w:p w14:paraId="6E064021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 internal data</w:t>
            </w:r>
          </w:p>
        </w:tc>
        <w:tc>
          <w:tcPr>
            <w:tcW w:w="2160" w:type="dxa"/>
          </w:tcPr>
          <w:p w14:paraId="00D7295A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Restricted access, non-standard</w:t>
            </w:r>
          </w:p>
        </w:tc>
        <w:tc>
          <w:tcPr>
            <w:tcW w:w="2160" w:type="dxa"/>
          </w:tcPr>
          <w:p w14:paraId="595A22CF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AF5F87" w14:paraId="1D902D1D" w14:textId="77777777" w:rsidTr="007D6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3FBFD" w14:textId="77777777" w:rsidR="00AF5F87" w:rsidRPr="007D6BF0" w:rsidRDefault="00000000">
            <w:pPr>
              <w:rPr>
                <w:b w:val="0"/>
                <w:bCs w:val="0"/>
              </w:rPr>
            </w:pPr>
            <w:r w:rsidRPr="007D6BF0">
              <w:rPr>
                <w:b w:val="0"/>
                <w:bCs w:val="0"/>
              </w:rPr>
              <w:t>PDF Upload</w:t>
            </w:r>
          </w:p>
        </w:tc>
        <w:tc>
          <w:tcPr>
            <w:tcW w:w="2160" w:type="dxa"/>
          </w:tcPr>
          <w:p w14:paraId="52B6D693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Authoritative, mobile-friendly</w:t>
            </w:r>
          </w:p>
        </w:tc>
        <w:tc>
          <w:tcPr>
            <w:tcW w:w="2160" w:type="dxa"/>
          </w:tcPr>
          <w:p w14:paraId="4B52B20C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only, parsing complexity</w:t>
            </w:r>
          </w:p>
        </w:tc>
        <w:tc>
          <w:tcPr>
            <w:tcW w:w="2160" w:type="dxa"/>
          </w:tcPr>
          <w:p w14:paraId="3E855EBC" w14:textId="77777777" w:rsidR="00AF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</w:t>
            </w:r>
          </w:p>
        </w:tc>
      </w:tr>
      <w:tr w:rsidR="00AF5F87" w14:paraId="2C39EB31" w14:textId="77777777" w:rsidTr="007D6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F6AB5" w14:textId="77777777" w:rsidR="00AF5F87" w:rsidRPr="007D6BF0" w:rsidRDefault="00000000">
            <w:pPr>
              <w:rPr>
                <w:b w:val="0"/>
                <w:bCs w:val="0"/>
              </w:rPr>
            </w:pPr>
            <w:r w:rsidRPr="007D6BF0">
              <w:rPr>
                <w:b w:val="0"/>
                <w:bCs w:val="0"/>
              </w:rPr>
              <w:t>CSV Upload</w:t>
            </w:r>
          </w:p>
        </w:tc>
        <w:tc>
          <w:tcPr>
            <w:tcW w:w="2160" w:type="dxa"/>
          </w:tcPr>
          <w:p w14:paraId="334D6BEF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attribution, flexible history</w:t>
            </w:r>
          </w:p>
        </w:tc>
        <w:tc>
          <w:tcPr>
            <w:tcW w:w="2160" w:type="dxa"/>
          </w:tcPr>
          <w:p w14:paraId="3C3282EC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download/upload</w:t>
            </w:r>
          </w:p>
        </w:tc>
        <w:tc>
          <w:tcPr>
            <w:tcW w:w="2160" w:type="dxa"/>
          </w:tcPr>
          <w:p w14:paraId="78D55C11" w14:textId="77777777" w:rsidR="00AF5F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1DED37D9" w14:textId="77777777" w:rsidR="007D6BF0" w:rsidRDefault="007D6BF0" w:rsidP="00244155">
      <w:pPr>
        <w:pStyle w:val="Heading2"/>
        <w:numPr>
          <w:ilvl w:val="0"/>
          <w:numId w:val="0"/>
        </w:numPr>
        <w:ind w:left="576" w:hanging="576"/>
      </w:pPr>
    </w:p>
    <w:p w14:paraId="5F8817A1" w14:textId="77777777" w:rsidR="007D6BF0" w:rsidRDefault="007D6BF0" w:rsidP="007D6BF0"/>
    <w:p w14:paraId="1C6FFB8A" w14:textId="77777777" w:rsidR="007D6BF0" w:rsidRDefault="007D6BF0" w:rsidP="007D6BF0"/>
    <w:p w14:paraId="304A34D2" w14:textId="77777777" w:rsidR="007D6BF0" w:rsidRDefault="007D6BF0" w:rsidP="007D6BF0"/>
    <w:p w14:paraId="02EF5C09" w14:textId="77777777" w:rsidR="00244155" w:rsidRPr="007D6BF0" w:rsidRDefault="00244155" w:rsidP="007D6BF0"/>
    <w:p w14:paraId="450089BF" w14:textId="103A0C0E" w:rsidR="00AF5F87" w:rsidRPr="007D6BF0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lastRenderedPageBreak/>
        <w:t>Backend Data Architecture (High-Level)</w:t>
      </w:r>
    </w:p>
    <w:p w14:paraId="7826E98A" w14:textId="77777777" w:rsidR="007D6BF0" w:rsidRDefault="00000000" w:rsidP="007D6BF0">
      <w:pPr>
        <w:pStyle w:val="ListParagraph"/>
        <w:numPr>
          <w:ilvl w:val="0"/>
          <w:numId w:val="12"/>
        </w:numPr>
      </w:pPr>
      <w:r>
        <w:t>Core entities:</w:t>
      </w:r>
    </w:p>
    <w:p w14:paraId="268929C0" w14:textId="33AA7D9E" w:rsidR="007D6BF0" w:rsidRDefault="00000000" w:rsidP="007D6BF0">
      <w:pPr>
        <w:pStyle w:val="ListParagraph"/>
        <w:numPr>
          <w:ilvl w:val="0"/>
          <w:numId w:val="12"/>
        </w:numPr>
      </w:pPr>
      <w:r>
        <w:t>Account</w:t>
      </w:r>
    </w:p>
    <w:p w14:paraId="5A3723BB" w14:textId="5BF61338" w:rsidR="007D6BF0" w:rsidRDefault="00000000" w:rsidP="007D6BF0">
      <w:pPr>
        <w:pStyle w:val="ListParagraph"/>
        <w:numPr>
          <w:ilvl w:val="0"/>
          <w:numId w:val="12"/>
        </w:numPr>
      </w:pPr>
      <w:r>
        <w:t>User (Primary / Supplementary)</w:t>
      </w:r>
    </w:p>
    <w:p w14:paraId="350E9236" w14:textId="77777777" w:rsidR="007D6BF0" w:rsidRDefault="00000000" w:rsidP="007D6BF0">
      <w:pPr>
        <w:pStyle w:val="ListParagraph"/>
        <w:numPr>
          <w:ilvl w:val="0"/>
          <w:numId w:val="12"/>
        </w:numPr>
      </w:pPr>
      <w:r>
        <w:t>Statemen</w:t>
      </w:r>
      <w:r w:rsidR="007D6BF0">
        <w:t>t</w:t>
      </w:r>
    </w:p>
    <w:p w14:paraId="7D03B7EF" w14:textId="77777777" w:rsidR="007D6BF0" w:rsidRDefault="00000000" w:rsidP="007D6BF0">
      <w:pPr>
        <w:pStyle w:val="ListParagraph"/>
        <w:numPr>
          <w:ilvl w:val="0"/>
          <w:numId w:val="12"/>
        </w:numPr>
      </w:pPr>
      <w:r>
        <w:t>Transaction</w:t>
      </w:r>
    </w:p>
    <w:p w14:paraId="5A9D5C29" w14:textId="77777777" w:rsidR="007D6BF0" w:rsidRDefault="00000000" w:rsidP="007D6BF0">
      <w:pPr>
        <w:pStyle w:val="ListParagraph"/>
        <w:numPr>
          <w:ilvl w:val="0"/>
          <w:numId w:val="12"/>
        </w:numPr>
      </w:pPr>
      <w:r>
        <w:t>Payment</w:t>
      </w:r>
    </w:p>
    <w:p w14:paraId="7BECF208" w14:textId="77777777" w:rsidR="007D6BF0" w:rsidRDefault="00000000" w:rsidP="007D6BF0">
      <w:pPr>
        <w:pStyle w:val="ListParagraph"/>
        <w:numPr>
          <w:ilvl w:val="0"/>
          <w:numId w:val="12"/>
        </w:numPr>
      </w:pPr>
      <w:r>
        <w:t>Payment Allocation</w:t>
      </w:r>
    </w:p>
    <w:p w14:paraId="40B14126" w14:textId="5254A643" w:rsidR="00AF5F87" w:rsidRDefault="00000000" w:rsidP="007D6BF0">
      <w:r>
        <w:t>All raw data (CSV/PDF) is stored immutably. Parsed data is layered on top with attribution metadata. No source data is overwritten.</w:t>
      </w:r>
    </w:p>
    <w:p w14:paraId="6B1D23B2" w14:textId="37DD2F7B" w:rsidR="00AF5F87" w:rsidRPr="007D6BF0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Payment Attribution &amp; Allocation</w:t>
      </w:r>
    </w:p>
    <w:p w14:paraId="5D05947A" w14:textId="45B6E2B3" w:rsidR="007D6BF0" w:rsidRDefault="00000000" w:rsidP="007D6BF0">
      <w:r>
        <w:t>Payments are ambiguous by default. The system provides a user-facing screen to:</w:t>
      </w:r>
    </w:p>
    <w:p w14:paraId="2A6C498A" w14:textId="3547894B" w:rsidR="007D6BF0" w:rsidRDefault="00000000" w:rsidP="007D6BF0">
      <w:pPr>
        <w:pStyle w:val="ListParagraph"/>
        <w:numPr>
          <w:ilvl w:val="0"/>
          <w:numId w:val="13"/>
        </w:numPr>
      </w:pPr>
      <w:r>
        <w:t>Attribute payments to Primary or Supplementary</w:t>
      </w:r>
    </w:p>
    <w:p w14:paraId="755C437D" w14:textId="77777777" w:rsidR="007D6BF0" w:rsidRDefault="00000000" w:rsidP="007D6BF0">
      <w:pPr>
        <w:pStyle w:val="ListParagraph"/>
        <w:numPr>
          <w:ilvl w:val="0"/>
          <w:numId w:val="13"/>
        </w:numPr>
      </w:pPr>
      <w:r>
        <w:t>Allocate bulk payments across multiple transactions</w:t>
      </w:r>
    </w:p>
    <w:p w14:paraId="57EF5C26" w14:textId="17D58501" w:rsidR="00AF5F87" w:rsidRDefault="00000000" w:rsidP="007D6BF0">
      <w:r>
        <w:t>This mirrors accounting-style reconciliation and enables accurate KPIs.</w:t>
      </w:r>
    </w:p>
    <w:p w14:paraId="14AEFAA5" w14:textId="385F7581" w:rsidR="00AF5F87" w:rsidRPr="007D6BF0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Data Refresh &amp; Update Process</w:t>
      </w:r>
    </w:p>
    <w:p w14:paraId="2620F49D" w14:textId="32B4BCF9" w:rsidR="007D6BF0" w:rsidRDefault="00000000" w:rsidP="007D6BF0">
      <w:pPr>
        <w:pStyle w:val="ListParagraph"/>
        <w:numPr>
          <w:ilvl w:val="0"/>
          <w:numId w:val="14"/>
        </w:numPr>
      </w:pPr>
      <w:r>
        <w:t>Data refresh is user-driven</w:t>
      </w:r>
    </w:p>
    <w:p w14:paraId="56E3733B" w14:textId="1EF4FC68" w:rsidR="007D6BF0" w:rsidRDefault="007D6BF0" w:rsidP="007D6BF0">
      <w:pPr>
        <w:pStyle w:val="ListParagraph"/>
        <w:numPr>
          <w:ilvl w:val="0"/>
          <w:numId w:val="14"/>
        </w:numPr>
      </w:pPr>
      <w:r>
        <w:t>Data Refresh is prompted monthly but available anytime</w:t>
      </w:r>
    </w:p>
    <w:p w14:paraId="29BAC450" w14:textId="37953229" w:rsidR="007D6BF0" w:rsidRDefault="00000000" w:rsidP="007D6BF0">
      <w:pPr>
        <w:pStyle w:val="ListParagraph"/>
        <w:numPr>
          <w:ilvl w:val="0"/>
          <w:numId w:val="14"/>
        </w:numPr>
      </w:pPr>
      <w:r>
        <w:t>Monthly CSV or PDF upload</w:t>
      </w:r>
    </w:p>
    <w:p w14:paraId="02EFAD03" w14:textId="17A4B6D9" w:rsidR="007D6BF0" w:rsidRDefault="00000000" w:rsidP="007D6BF0">
      <w:pPr>
        <w:pStyle w:val="ListParagraph"/>
        <w:numPr>
          <w:ilvl w:val="0"/>
          <w:numId w:val="14"/>
        </w:numPr>
      </w:pPr>
      <w:r>
        <w:t>Deduplication via transaction hashes</w:t>
      </w:r>
    </w:p>
    <w:p w14:paraId="01BEF535" w14:textId="77777777" w:rsidR="007D6BF0" w:rsidRDefault="00000000" w:rsidP="007D6BF0">
      <w:pPr>
        <w:pStyle w:val="ListParagraph"/>
        <w:numPr>
          <w:ilvl w:val="0"/>
          <w:numId w:val="14"/>
        </w:numPr>
      </w:pPr>
      <w:r>
        <w:t>Incremental statement stacking</w:t>
      </w:r>
    </w:p>
    <w:p w14:paraId="17D24171" w14:textId="5881EC2C" w:rsidR="00AF5F87" w:rsidRDefault="00000000" w:rsidP="007D6BF0">
      <w:r>
        <w:t>Open Banking may be optionally added later for convenience but never relied upon for attribution</w:t>
      </w:r>
      <w:r w:rsidR="007D6BF0">
        <w:t>.</w:t>
      </w:r>
    </w:p>
    <w:p w14:paraId="78255A0C" w14:textId="52633DF9" w:rsidR="00AF5F87" w:rsidRPr="007D6BF0" w:rsidRDefault="00000000" w:rsidP="00244155">
      <w:pPr>
        <w:pStyle w:val="Heading1"/>
        <w:numPr>
          <w:ilvl w:val="0"/>
          <w:numId w:val="19"/>
        </w:numPr>
        <w:rPr>
          <w:color w:val="548DD4" w:themeColor="text2" w:themeTint="99"/>
        </w:rPr>
      </w:pPr>
      <w:r w:rsidRPr="007D6BF0">
        <w:rPr>
          <w:color w:val="548DD4" w:themeColor="text2" w:themeTint="99"/>
        </w:rPr>
        <w:t>Conclusion</w:t>
      </w:r>
    </w:p>
    <w:p w14:paraId="4BFC81EF" w14:textId="77777777" w:rsidR="00AF5F87" w:rsidRDefault="00000000">
      <w:r>
        <w:t>Given current UK banking constraints, CSV-based ingestion (Amex-first) combined with user-verified payment allocation is the only robust, compliant, and accurate solution. The proposed architecture directly addresses a genuine market gap and is extensible as issuer capabilities evolve.</w:t>
      </w:r>
    </w:p>
    <w:sectPr w:rsidR="00AF5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A551D"/>
    <w:multiLevelType w:val="hybridMultilevel"/>
    <w:tmpl w:val="52307A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648E8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5B20C5"/>
    <w:multiLevelType w:val="hybridMultilevel"/>
    <w:tmpl w:val="C81A2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804E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931FF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18D5C0A"/>
    <w:multiLevelType w:val="hybridMultilevel"/>
    <w:tmpl w:val="71F06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62023"/>
    <w:multiLevelType w:val="hybridMultilevel"/>
    <w:tmpl w:val="224AE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329B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F86216"/>
    <w:multiLevelType w:val="hybridMultilevel"/>
    <w:tmpl w:val="788E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B36E6"/>
    <w:multiLevelType w:val="hybridMultilevel"/>
    <w:tmpl w:val="B30E8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935959">
    <w:abstractNumId w:val="8"/>
  </w:num>
  <w:num w:numId="2" w16cid:durableId="35861654">
    <w:abstractNumId w:val="6"/>
  </w:num>
  <w:num w:numId="3" w16cid:durableId="988360483">
    <w:abstractNumId w:val="5"/>
  </w:num>
  <w:num w:numId="4" w16cid:durableId="1949465067">
    <w:abstractNumId w:val="4"/>
  </w:num>
  <w:num w:numId="5" w16cid:durableId="1220635449">
    <w:abstractNumId w:val="7"/>
  </w:num>
  <w:num w:numId="6" w16cid:durableId="1001855646">
    <w:abstractNumId w:val="3"/>
  </w:num>
  <w:num w:numId="7" w16cid:durableId="2016766440">
    <w:abstractNumId w:val="2"/>
  </w:num>
  <w:num w:numId="8" w16cid:durableId="490413817">
    <w:abstractNumId w:val="1"/>
  </w:num>
  <w:num w:numId="9" w16cid:durableId="378827426">
    <w:abstractNumId w:val="0"/>
  </w:num>
  <w:num w:numId="10" w16cid:durableId="612442252">
    <w:abstractNumId w:val="14"/>
  </w:num>
  <w:num w:numId="11" w16cid:durableId="1386030227">
    <w:abstractNumId w:val="15"/>
  </w:num>
  <w:num w:numId="12" w16cid:durableId="1779368118">
    <w:abstractNumId w:val="17"/>
  </w:num>
  <w:num w:numId="13" w16cid:durableId="413017860">
    <w:abstractNumId w:val="18"/>
  </w:num>
  <w:num w:numId="14" w16cid:durableId="1994405264">
    <w:abstractNumId w:val="11"/>
  </w:num>
  <w:num w:numId="15" w16cid:durableId="634337274">
    <w:abstractNumId w:val="9"/>
  </w:num>
  <w:num w:numId="16" w16cid:durableId="1026710942">
    <w:abstractNumId w:val="12"/>
  </w:num>
  <w:num w:numId="17" w16cid:durableId="529690156">
    <w:abstractNumId w:val="16"/>
  </w:num>
  <w:num w:numId="18" w16cid:durableId="2119132535">
    <w:abstractNumId w:val="13"/>
  </w:num>
  <w:num w:numId="19" w16cid:durableId="435640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98E"/>
    <w:rsid w:val="0015074B"/>
    <w:rsid w:val="00244155"/>
    <w:rsid w:val="0029639D"/>
    <w:rsid w:val="00326F90"/>
    <w:rsid w:val="00555A3F"/>
    <w:rsid w:val="007D6BF0"/>
    <w:rsid w:val="00A92BFF"/>
    <w:rsid w:val="00AA1D8D"/>
    <w:rsid w:val="00AF5F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96DDE"/>
  <w14:defaultImageDpi w14:val="300"/>
  <w15:docId w15:val="{1B981D51-9C1E-0342-99C4-27BF237D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7D6BF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Sharples</cp:lastModifiedBy>
  <cp:revision>10</cp:revision>
  <dcterms:created xsi:type="dcterms:W3CDTF">2013-12-23T23:15:00Z</dcterms:created>
  <dcterms:modified xsi:type="dcterms:W3CDTF">2026-01-17T00:34:00Z</dcterms:modified>
  <cp:category/>
</cp:coreProperties>
</file>